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643" w:firstLineChars="200"/>
        <w:jc w:val="center"/>
        <w:rPr>
          <w:rFonts w:hint="eastAsia" w:ascii="黑体" w:hAnsi="黑体" w:eastAsia="黑体" w:cs="黑体"/>
          <w:b/>
          <w:sz w:val="32"/>
          <w:szCs w:val="32"/>
        </w:rPr>
      </w:pPr>
      <w:r>
        <w:rPr>
          <w:rFonts w:hint="eastAsia" w:ascii="黑体" w:hAnsi="黑体" w:eastAsia="黑体" w:cs="黑体"/>
          <w:b/>
          <w:sz w:val="32"/>
          <w:szCs w:val="32"/>
          <w:lang w:eastAsia="zh-CN"/>
        </w:rPr>
        <w:t>股份有限公司</w:t>
      </w:r>
      <w:r>
        <w:rPr>
          <w:rFonts w:hint="eastAsia" w:ascii="黑体" w:hAnsi="黑体" w:eastAsia="黑体" w:cs="黑体"/>
          <w:b/>
          <w:sz w:val="32"/>
          <w:szCs w:val="32"/>
        </w:rPr>
        <w:t>增资</w:t>
      </w:r>
      <w:r>
        <w:rPr>
          <w:rFonts w:hint="eastAsia" w:ascii="黑体" w:hAnsi="黑体" w:eastAsia="黑体" w:cs="黑体"/>
          <w:b/>
          <w:sz w:val="32"/>
          <w:szCs w:val="32"/>
          <w:lang w:eastAsia="zh-CN"/>
        </w:rPr>
        <w:t>扩股</w:t>
      </w:r>
      <w:r>
        <w:rPr>
          <w:rFonts w:hint="eastAsia" w:ascii="黑体" w:hAnsi="黑体" w:eastAsia="黑体" w:cs="黑体"/>
          <w:b/>
          <w:sz w:val="32"/>
          <w:szCs w:val="32"/>
        </w:rPr>
        <w:t>协议</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本增资协议(以下简称“本协议”)由下列各方于【】年【】月【】日在【】市【】区签署：</w:t>
      </w:r>
    </w:p>
    <w:p>
      <w:pPr>
        <w:spacing w:line="240" w:lineRule="auto"/>
        <w:ind w:firstLine="482" w:firstLineChars="200"/>
        <w:jc w:val="both"/>
        <w:rPr>
          <w:rFonts w:hint="eastAsia" w:ascii="黑体" w:hAnsi="黑体" w:eastAsia="黑体" w:cs="黑体"/>
          <w:sz w:val="24"/>
          <w:szCs w:val="24"/>
        </w:rPr>
      </w:pPr>
      <w:r>
        <w:rPr>
          <w:rFonts w:hint="eastAsia" w:ascii="黑体" w:hAnsi="黑体" w:eastAsia="黑体" w:cs="黑体"/>
          <w:b/>
          <w:sz w:val="24"/>
          <w:szCs w:val="24"/>
        </w:rPr>
        <w:t>甲方/投资方</w:t>
      </w:r>
      <w:r>
        <w:rPr>
          <w:rFonts w:hint="eastAsia" w:ascii="黑体" w:hAnsi="黑体" w:eastAsia="黑体" w:cs="黑体"/>
          <w:sz w:val="24"/>
          <w:szCs w:val="24"/>
        </w:rPr>
        <w:t>：</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【】（有限合伙）</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 xml:space="preserve">营业执照注册号：【】  </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注册地址：【】</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执行事务合伙人委派代表：【】</w:t>
      </w:r>
    </w:p>
    <w:p>
      <w:pPr>
        <w:spacing w:line="240" w:lineRule="auto"/>
        <w:ind w:firstLine="482" w:firstLineChars="200"/>
        <w:jc w:val="both"/>
        <w:rPr>
          <w:rFonts w:hint="eastAsia" w:ascii="黑体" w:hAnsi="黑体" w:eastAsia="黑体" w:cs="黑体"/>
          <w:sz w:val="24"/>
          <w:szCs w:val="24"/>
        </w:rPr>
      </w:pPr>
      <w:r>
        <w:rPr>
          <w:rFonts w:hint="eastAsia" w:ascii="黑体" w:hAnsi="黑体" w:eastAsia="黑体" w:cs="黑体"/>
          <w:b/>
          <w:sz w:val="24"/>
          <w:szCs w:val="24"/>
        </w:rPr>
        <w:t>乙方/原股东</w:t>
      </w:r>
      <w:r>
        <w:rPr>
          <w:rFonts w:hint="eastAsia" w:ascii="黑体" w:hAnsi="黑体" w:eastAsia="黑体" w:cs="黑体"/>
          <w:sz w:val="24"/>
          <w:szCs w:val="24"/>
        </w:rPr>
        <w:t>：</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原股东之一：xx</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身份证号码：【】           住址：【】省【】市【】区</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原股东之二：XXX</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身份证号码：【】           住址：【】省【】市【】区</w:t>
      </w:r>
    </w:p>
    <w:p>
      <w:pPr>
        <w:spacing w:line="240" w:lineRule="auto"/>
        <w:ind w:firstLine="482" w:firstLineChars="200"/>
        <w:jc w:val="both"/>
        <w:rPr>
          <w:rFonts w:hint="eastAsia" w:ascii="黑体" w:hAnsi="黑体" w:eastAsia="黑体" w:cs="黑体"/>
          <w:sz w:val="24"/>
          <w:szCs w:val="24"/>
        </w:rPr>
      </w:pPr>
      <w:r>
        <w:rPr>
          <w:rFonts w:hint="eastAsia" w:ascii="黑体" w:hAnsi="黑体" w:eastAsia="黑体" w:cs="黑体"/>
          <w:b/>
          <w:sz w:val="24"/>
          <w:szCs w:val="24"/>
        </w:rPr>
        <w:t>丙方/标的公司</w:t>
      </w:r>
      <w:r>
        <w:rPr>
          <w:rFonts w:hint="eastAsia" w:ascii="黑体" w:hAnsi="黑体" w:eastAsia="黑体" w:cs="黑体"/>
          <w:sz w:val="24"/>
          <w:szCs w:val="24"/>
        </w:rPr>
        <w:t>：</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【】股份公司</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营业执照注册号：【】</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注册住址：【】</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法定代表人：【】</w:t>
      </w:r>
    </w:p>
    <w:p>
      <w:pPr>
        <w:spacing w:line="240" w:lineRule="auto"/>
        <w:ind w:firstLine="480" w:firstLineChars="200"/>
        <w:jc w:val="both"/>
        <w:rPr>
          <w:rFonts w:hint="eastAsia" w:ascii="黑体" w:hAnsi="黑体" w:eastAsia="黑体" w:cs="黑体"/>
          <w:sz w:val="24"/>
          <w:szCs w:val="24"/>
        </w:rPr>
      </w:pPr>
    </w:p>
    <w:p>
      <w:pPr>
        <w:spacing w:line="240" w:lineRule="auto"/>
        <w:ind w:firstLine="482" w:firstLineChars="200"/>
        <w:jc w:val="both"/>
        <w:rPr>
          <w:rFonts w:hint="eastAsia" w:ascii="黑体" w:hAnsi="黑体" w:eastAsia="黑体" w:cs="黑体"/>
          <w:b/>
          <w:sz w:val="24"/>
          <w:szCs w:val="24"/>
          <w:lang w:eastAsia="zh-CN"/>
        </w:rPr>
      </w:pPr>
      <w:r>
        <w:rPr>
          <w:rFonts w:hint="eastAsia" w:ascii="黑体" w:hAnsi="黑体" w:eastAsia="黑体" w:cs="黑体"/>
          <w:b/>
          <w:sz w:val="24"/>
          <w:szCs w:val="24"/>
        </w:rPr>
        <w:t>鉴于</w:t>
      </w:r>
      <w:r>
        <w:rPr>
          <w:rFonts w:hint="eastAsia" w:ascii="黑体" w:hAnsi="黑体" w:eastAsia="黑体" w:cs="黑体"/>
          <w:b/>
          <w:sz w:val="24"/>
          <w:szCs w:val="24"/>
          <w:lang w:eastAsia="zh-CN"/>
        </w:rPr>
        <w:t>：</w:t>
      </w:r>
    </w:p>
    <w:p>
      <w:pPr>
        <w:spacing w:line="240" w:lineRule="auto"/>
        <w:ind w:firstLine="482" w:firstLineChars="200"/>
        <w:jc w:val="both"/>
        <w:rPr>
          <w:rFonts w:hint="eastAsia" w:ascii="黑体" w:hAnsi="黑体" w:eastAsia="黑体" w:cs="黑体"/>
          <w:b/>
          <w:sz w:val="24"/>
          <w:szCs w:val="24"/>
          <w:lang w:eastAsia="zh-CN"/>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sz w:val="24"/>
          <w:szCs w:val="24"/>
        </w:rPr>
        <w:tab/>
      </w:r>
      <w:r>
        <w:rPr>
          <w:rFonts w:hint="eastAsia" w:ascii="黑体" w:hAnsi="黑体" w:eastAsia="黑体" w:cs="黑体"/>
          <w:sz w:val="24"/>
          <w:szCs w:val="24"/>
        </w:rPr>
        <w:t>标的公司</w:t>
      </w:r>
      <w:r>
        <w:rPr>
          <w:rFonts w:hint="eastAsia" w:ascii="黑体" w:hAnsi="黑体" w:eastAsia="黑体" w:cs="黑体"/>
          <w:sz w:val="24"/>
          <w:szCs w:val="24"/>
        </w:rPr>
        <w:t>为一家依照中国法律设立并有效存续的股份有限公司，注册资本为【】万元；其中xx出资【】万元，占注册资本的【】%；XXX出资【】万元，占注册资本的【】%。</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sz w:val="24"/>
          <w:szCs w:val="24"/>
        </w:rPr>
        <w:tab/>
      </w:r>
      <w:r>
        <w:rPr>
          <w:rFonts w:hint="eastAsia" w:ascii="黑体" w:hAnsi="黑体" w:eastAsia="黑体" w:cs="黑体"/>
          <w:sz w:val="24"/>
          <w:szCs w:val="24"/>
        </w:rPr>
        <w:t>标的公司拟通过引入</w:t>
      </w:r>
      <w:r>
        <w:rPr>
          <w:rFonts w:hint="eastAsia" w:ascii="黑体" w:hAnsi="黑体" w:eastAsia="黑体" w:cs="黑体"/>
          <w:sz w:val="24"/>
          <w:szCs w:val="24"/>
        </w:rPr>
        <w:t>投资方</w:t>
      </w:r>
      <w:r>
        <w:rPr>
          <w:rFonts w:hint="eastAsia" w:ascii="黑体" w:hAnsi="黑体" w:eastAsia="黑体" w:cs="黑体"/>
          <w:sz w:val="24"/>
          <w:szCs w:val="24"/>
        </w:rPr>
        <w:t>对进行增资，各方一致同意将</w:t>
      </w:r>
      <w:r>
        <w:rPr>
          <w:rFonts w:hint="eastAsia" w:ascii="黑体" w:hAnsi="黑体" w:eastAsia="黑体" w:cs="黑体"/>
          <w:sz w:val="24"/>
          <w:szCs w:val="24"/>
        </w:rPr>
        <w:t>标的公司</w:t>
      </w:r>
      <w:r>
        <w:rPr>
          <w:rFonts w:hint="eastAsia" w:ascii="黑体" w:hAnsi="黑体" w:eastAsia="黑体" w:cs="黑体"/>
          <w:sz w:val="24"/>
          <w:szCs w:val="24"/>
        </w:rPr>
        <w:t>的注册资本由【】万元增加到【】万元。</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各方经友好协商，就本次增资事宜商定如下条款，共同遵照执行。</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bookmarkStart w:id="0" w:name="_Toc240693216"/>
      <w:bookmarkStart w:id="1" w:name="_Toc321043677"/>
      <w:r>
        <w:rPr>
          <w:rFonts w:hint="eastAsia" w:ascii="黑体" w:hAnsi="黑体" w:eastAsia="黑体" w:cs="黑体"/>
          <w:b/>
          <w:sz w:val="24"/>
          <w:szCs w:val="24"/>
        </w:rPr>
        <w:t>定义</w:t>
      </w:r>
      <w:bookmarkEnd w:id="0"/>
      <w:bookmarkEnd w:id="1"/>
    </w:p>
    <w:p>
      <w:pPr>
        <w:pStyle w:val="11"/>
        <w:spacing w:line="240" w:lineRule="auto"/>
        <w:ind w:left="900" w:firstLine="0" w:firstLineChars="0"/>
        <w:jc w:val="both"/>
        <w:rPr>
          <w:rFonts w:hint="eastAsia" w:ascii="黑体" w:hAnsi="黑体" w:eastAsia="黑体" w:cs="黑体"/>
          <w:b/>
          <w:sz w:val="24"/>
          <w:szCs w:val="24"/>
        </w:rPr>
      </w:pPr>
    </w:p>
    <w:p>
      <w:pPr>
        <w:numPr>
          <w:ilvl w:val="1"/>
          <w:numId w:val="2"/>
        </w:numPr>
        <w:adjustRightInd w:val="0"/>
        <w:snapToGrid w:val="0"/>
        <w:spacing w:line="240" w:lineRule="auto"/>
        <w:ind w:left="425" w:firstLine="0"/>
        <w:jc w:val="both"/>
        <w:outlineLvl w:val="0"/>
        <w:rPr>
          <w:rFonts w:hint="eastAsia" w:ascii="黑体" w:hAnsi="黑体" w:eastAsia="黑体" w:cs="黑体"/>
          <w:bCs/>
          <w:sz w:val="24"/>
          <w:szCs w:val="24"/>
        </w:rPr>
      </w:pPr>
      <w:r>
        <w:rPr>
          <w:rFonts w:hint="eastAsia" w:ascii="黑体" w:hAnsi="黑体" w:eastAsia="黑体" w:cs="黑体"/>
          <w:bCs/>
          <w:color w:val="000000"/>
          <w:sz w:val="24"/>
          <w:szCs w:val="24"/>
        </w:rPr>
        <w:t>除非本协议文意另有所指，下列词语具有以下含义：</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各方</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指投资方、原股东和标的公司。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本协议</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指本《增资协议》及各方就本《增资协议》约定事项共同签订的其他补充协议和相关文件。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工作日</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指除星期六、星期日及中华人民共和国政府规定的法定节假日以外的时间。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中国</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指中华人民共和国，为本协议之目的，不包括香港特别行政区、澳门特别行政区及台湾地区。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基准日</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指标的公司进行资产评估和审计的日期，即【】年【】月【】日。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《审计报告》</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指以【】年【】月【】日为基准日的【】号审计报告。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《评估报告》</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指以【】年【】月【】日为基准日的【】号审计报告。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元</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指中华人民共和国法定货币人民币：元。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尽职调查</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指基于本次增资之目的，由投资方委派专业人士对标的公司及相关公司在财务、法律等相关方面进行的调查。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投资完成</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指投资方按照本协议约定完成总额人民币【】万元的出资义务。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过渡期</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自基准日到标的公司完成工商变更登记的期间。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送达</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指本协议任何一方按照本协议约定的任一种送达方式将书面文件发出的行为。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净利润</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是指标的公司经由投资方认可的具有证券从业资格的会计师事务所审计的归属于母公司所有者合并税后净利润（即扣除非经常性损益税后的净利润，如公司发生非经常性损益，该值为报表合并净利润扣除非经常性损益前后孰低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净资产</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是指标的公司经由投资方认可的具有证券从业资格的会计师事务所审计的标的公司的合并净资产。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控股子公司</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指标的公司直接或间接持股比例达到或超过【】%的所有被投资企业或公司直接或间接持股比例达到第一大股东地位的所有被投资企业，并包括通过公司章程、协议或合同约定等方式具有实际控制权的公司。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首次公开发行股票并上市</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标的公司在【】年【】月【】日前首次公开发行股票并于中国境内证券交易所挂牌上市。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权利负担</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任何担保权益、质押、抵押、留置（包括但不限于税收优先权、撤销权和代位权）、租赁、许可、债务负担、优先安排、限制性承诺、条件或任何种类的限制，包括但不限于对使用、表决、转让、收益或对其他行使所有权任何权益的任何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重大不利变化</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指下述涉及标的公司业务或公司（包括其控股子公司）的任何情况、变更或影响，该情况、变更或影响单独地或与标的公司的其他任何情况、变更或影响共同地：a对标的公司的业务、资产、负债（包括但不限于或有责任）、经营业绩、财务状况造成或可能造成严重不利影响，或b对标的公司以及其目前经营或开展业务的方式经营和开展业务的资质产生或可能产生严重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6" w:type="dxa"/>
            <w:vAlign w:val="center"/>
          </w:tcPr>
          <w:p>
            <w:pPr>
              <w:adjustRightInd w:val="0"/>
              <w:snapToGrid w:val="0"/>
              <w:spacing w:line="240" w:lineRule="auto"/>
              <w:jc w:val="center"/>
              <w:rPr>
                <w:rFonts w:hint="eastAsia" w:ascii="黑体" w:hAnsi="黑体" w:eastAsia="黑体" w:cs="黑体"/>
                <w:b/>
                <w:bCs/>
                <w:sz w:val="24"/>
                <w:szCs w:val="24"/>
              </w:rPr>
            </w:pPr>
            <w:r>
              <w:rPr>
                <w:rFonts w:hint="eastAsia" w:ascii="黑体" w:hAnsi="黑体" w:eastAsia="黑体" w:cs="黑体"/>
                <w:b/>
                <w:bCs/>
                <w:sz w:val="24"/>
                <w:szCs w:val="24"/>
              </w:rPr>
              <w:t>管理层股东</w:t>
            </w:r>
          </w:p>
        </w:tc>
        <w:tc>
          <w:tcPr>
            <w:tcW w:w="6986" w:type="dxa"/>
            <w:vAlign w:val="center"/>
          </w:tcPr>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本协议内指xx，XXX等在投资方投资时参与公司经营、管理、运营等公司股东。</w:t>
            </w:r>
          </w:p>
        </w:tc>
      </w:tr>
    </w:tbl>
    <w:p>
      <w:pPr>
        <w:adjustRightInd w:val="0"/>
        <w:snapToGrid w:val="0"/>
        <w:spacing w:line="240" w:lineRule="auto"/>
        <w:jc w:val="both"/>
        <w:rPr>
          <w:rFonts w:hint="eastAsia" w:ascii="黑体" w:hAnsi="黑体" w:eastAsia="黑体" w:cs="黑体"/>
          <w:sz w:val="24"/>
          <w:szCs w:val="24"/>
        </w:rPr>
      </w:pPr>
      <w:r>
        <w:rPr>
          <w:rFonts w:hint="eastAsia" w:ascii="黑体" w:hAnsi="黑体" w:eastAsia="黑体" w:cs="黑体"/>
          <w:sz w:val="24"/>
          <w:szCs w:val="24"/>
        </w:rPr>
        <w:t xml:space="preserve">   </w:t>
      </w:r>
    </w:p>
    <w:p>
      <w:pPr>
        <w:numPr>
          <w:ilvl w:val="1"/>
          <w:numId w:val="2"/>
        </w:numPr>
        <w:adjustRightInd w:val="0"/>
        <w:snapToGrid w:val="0"/>
        <w:spacing w:line="240" w:lineRule="auto"/>
        <w:ind w:left="425" w:firstLine="0"/>
        <w:jc w:val="both"/>
        <w:outlineLvl w:val="0"/>
        <w:rPr>
          <w:rFonts w:hint="eastAsia" w:ascii="黑体" w:hAnsi="黑体" w:eastAsia="黑体" w:cs="黑体"/>
          <w:bCs/>
          <w:color w:val="000000"/>
          <w:sz w:val="24"/>
          <w:szCs w:val="24"/>
        </w:rPr>
      </w:pPr>
      <w:r>
        <w:rPr>
          <w:rFonts w:hint="eastAsia" w:ascii="黑体" w:hAnsi="黑体" w:eastAsia="黑体" w:cs="黑体"/>
          <w:bCs/>
          <w:color w:val="000000"/>
          <w:sz w:val="24"/>
          <w:szCs w:val="24"/>
        </w:rPr>
        <w:t>本协议的条款标题仅为了方便阅读，不应影响对本协议条款的理解。</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增资</w:t>
      </w:r>
    </w:p>
    <w:p>
      <w:pPr>
        <w:spacing w:line="240" w:lineRule="auto"/>
        <w:ind w:firstLine="480" w:firstLineChars="200"/>
        <w:jc w:val="both"/>
        <w:rPr>
          <w:rFonts w:hint="eastAsia" w:ascii="黑体" w:hAnsi="黑体" w:eastAsia="黑体" w:cs="黑体"/>
          <w:sz w:val="24"/>
          <w:szCs w:val="24"/>
        </w:rPr>
      </w:pPr>
    </w:p>
    <w:p>
      <w:pPr>
        <w:pStyle w:val="11"/>
        <w:numPr>
          <w:ilvl w:val="0"/>
          <w:numId w:val="3"/>
        </w:numPr>
        <w:spacing w:line="240" w:lineRule="auto"/>
        <w:ind w:firstLineChars="0"/>
        <w:jc w:val="both"/>
        <w:rPr>
          <w:rFonts w:hint="eastAsia" w:ascii="黑体" w:hAnsi="黑体" w:eastAsia="黑体" w:cs="黑体"/>
          <w:vanish/>
          <w:sz w:val="24"/>
          <w:szCs w:val="24"/>
        </w:rPr>
      </w:pPr>
    </w:p>
    <w:p>
      <w:pPr>
        <w:pStyle w:val="11"/>
        <w:numPr>
          <w:ilvl w:val="0"/>
          <w:numId w:val="3"/>
        </w:numPr>
        <w:spacing w:line="240" w:lineRule="auto"/>
        <w:ind w:firstLineChars="0"/>
        <w:jc w:val="both"/>
        <w:rPr>
          <w:rFonts w:hint="eastAsia" w:ascii="黑体" w:hAnsi="黑体" w:eastAsia="黑体" w:cs="黑体"/>
          <w:vanish/>
          <w:sz w:val="24"/>
          <w:szCs w:val="24"/>
        </w:rPr>
      </w:pPr>
    </w:p>
    <w:p>
      <w:pPr>
        <w:pStyle w:val="11"/>
        <w:numPr>
          <w:ilvl w:val="1"/>
          <w:numId w:val="3"/>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本次增资的价格：各方一致同意标的公司本次新发行【】万股本，每股价格为【】元，募集资金【】万元。</w:t>
      </w:r>
    </w:p>
    <w:p>
      <w:pPr>
        <w:pStyle w:val="11"/>
        <w:numPr>
          <w:ilvl w:val="1"/>
          <w:numId w:val="3"/>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投资方根据本协议的条款和条件以其合法拥有的现金出资【】万元人民币认购标的公司本次新发行【】万股本。超出其认购新增注册资本的金额</w:t>
      </w:r>
      <w:r>
        <w:rPr>
          <w:rFonts w:hint="eastAsia" w:ascii="黑体" w:hAnsi="黑体" w:eastAsia="黑体" w:cs="黑体"/>
          <w:b/>
          <w:sz w:val="24"/>
          <w:szCs w:val="24"/>
        </w:rPr>
        <w:t>【】</w:t>
      </w:r>
      <w:r>
        <w:rPr>
          <w:rFonts w:hint="eastAsia" w:ascii="黑体" w:hAnsi="黑体" w:eastAsia="黑体" w:cs="黑体"/>
          <w:sz w:val="24"/>
          <w:szCs w:val="24"/>
        </w:rPr>
        <w:t>万元计入标的公司的资本公积。</w:t>
      </w:r>
    </w:p>
    <w:p>
      <w:pPr>
        <w:pStyle w:val="11"/>
        <w:numPr>
          <w:ilvl w:val="1"/>
          <w:numId w:val="3"/>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标的公司本次增资款项将主要用于【】。</w:t>
      </w:r>
    </w:p>
    <w:p>
      <w:pPr>
        <w:pStyle w:val="11"/>
        <w:numPr>
          <w:ilvl w:val="1"/>
          <w:numId w:val="3"/>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原股东同意投资方按照本协议约定的条款和条件认购【】本次新增注册资本，并同意放弃对【】此次新增注册资本的优先认购权。</w:t>
      </w:r>
    </w:p>
    <w:p>
      <w:pPr>
        <w:pStyle w:val="11"/>
        <w:numPr>
          <w:ilvl w:val="1"/>
          <w:numId w:val="3"/>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本次增资后标的公司的注册资本为【】万元，股东及持股比例为：</w:t>
      </w:r>
    </w:p>
    <w:p>
      <w:pPr>
        <w:spacing w:line="240" w:lineRule="auto"/>
        <w:ind w:firstLine="480" w:firstLineChars="200"/>
        <w:jc w:val="both"/>
        <w:rPr>
          <w:rFonts w:hint="eastAsia" w:ascii="黑体" w:hAnsi="黑体" w:eastAsia="黑体" w:cs="黑体"/>
          <w:sz w:val="24"/>
          <w:szCs w:val="24"/>
        </w:rPr>
      </w:pP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035"/>
        <w:gridCol w:w="1103"/>
        <w:gridCol w:w="994"/>
        <w:gridCol w:w="1167"/>
        <w:gridCol w:w="1326"/>
        <w:gridCol w:w="1328"/>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582"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序号</w:t>
            </w:r>
          </w:p>
        </w:tc>
        <w:tc>
          <w:tcPr>
            <w:tcW w:w="1035"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姓名/名称</w:t>
            </w:r>
          </w:p>
        </w:tc>
        <w:tc>
          <w:tcPr>
            <w:tcW w:w="1103"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原持</w:t>
            </w:r>
          </w:p>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股数</w:t>
            </w:r>
          </w:p>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（股）</w:t>
            </w:r>
          </w:p>
        </w:tc>
        <w:tc>
          <w:tcPr>
            <w:tcW w:w="994"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原持股比例（%）</w:t>
            </w:r>
          </w:p>
        </w:tc>
        <w:tc>
          <w:tcPr>
            <w:tcW w:w="1167"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本次认购股份数（股）</w:t>
            </w:r>
          </w:p>
        </w:tc>
        <w:tc>
          <w:tcPr>
            <w:tcW w:w="1326"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本次认购股份总价款（元）</w:t>
            </w:r>
          </w:p>
        </w:tc>
        <w:tc>
          <w:tcPr>
            <w:tcW w:w="1328"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增资后总计持股数（股）</w:t>
            </w:r>
          </w:p>
        </w:tc>
        <w:tc>
          <w:tcPr>
            <w:tcW w:w="987" w:type="dxa"/>
            <w:vAlign w:val="center"/>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增资后持股比例（%）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82" w:type="dxa"/>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1</w:t>
            </w:r>
          </w:p>
        </w:tc>
        <w:tc>
          <w:tcPr>
            <w:tcW w:w="1035" w:type="dxa"/>
            <w:vAlign w:val="center"/>
          </w:tcPr>
          <w:p>
            <w:pPr>
              <w:widowControl/>
              <w:spacing w:line="240" w:lineRule="auto"/>
              <w:jc w:val="center"/>
              <w:rPr>
                <w:rFonts w:hint="eastAsia" w:ascii="黑体" w:hAnsi="黑体" w:eastAsia="黑体" w:cs="黑体"/>
                <w:color w:val="000000"/>
                <w:kern w:val="0"/>
                <w:sz w:val="24"/>
                <w:szCs w:val="24"/>
              </w:rPr>
            </w:pPr>
          </w:p>
        </w:tc>
        <w:tc>
          <w:tcPr>
            <w:tcW w:w="1103" w:type="dxa"/>
            <w:vAlign w:val="center"/>
          </w:tcPr>
          <w:p>
            <w:pPr>
              <w:widowControl/>
              <w:spacing w:line="240" w:lineRule="auto"/>
              <w:jc w:val="center"/>
              <w:rPr>
                <w:rFonts w:hint="eastAsia" w:ascii="黑体" w:hAnsi="黑体" w:eastAsia="黑体" w:cs="黑体"/>
                <w:color w:val="000000"/>
                <w:kern w:val="0"/>
                <w:sz w:val="24"/>
                <w:szCs w:val="24"/>
              </w:rPr>
            </w:pPr>
          </w:p>
        </w:tc>
        <w:tc>
          <w:tcPr>
            <w:tcW w:w="994" w:type="dxa"/>
            <w:vAlign w:val="center"/>
          </w:tcPr>
          <w:p>
            <w:pPr>
              <w:widowControl/>
              <w:spacing w:line="240" w:lineRule="auto"/>
              <w:jc w:val="center"/>
              <w:rPr>
                <w:rFonts w:hint="eastAsia" w:ascii="黑体" w:hAnsi="黑体" w:eastAsia="黑体" w:cs="黑体"/>
                <w:color w:val="000000"/>
                <w:kern w:val="0"/>
                <w:sz w:val="24"/>
                <w:szCs w:val="24"/>
              </w:rPr>
            </w:pPr>
          </w:p>
        </w:tc>
        <w:tc>
          <w:tcPr>
            <w:tcW w:w="1167" w:type="dxa"/>
            <w:vAlign w:val="center"/>
          </w:tcPr>
          <w:p>
            <w:pPr>
              <w:widowControl/>
              <w:spacing w:line="240" w:lineRule="auto"/>
              <w:jc w:val="center"/>
              <w:rPr>
                <w:rFonts w:hint="eastAsia" w:ascii="黑体" w:hAnsi="黑体" w:eastAsia="黑体" w:cs="黑体"/>
                <w:color w:val="000000"/>
                <w:kern w:val="0"/>
                <w:sz w:val="24"/>
                <w:szCs w:val="24"/>
              </w:rPr>
            </w:pPr>
          </w:p>
        </w:tc>
        <w:tc>
          <w:tcPr>
            <w:tcW w:w="1326" w:type="dxa"/>
            <w:vAlign w:val="center"/>
          </w:tcPr>
          <w:p>
            <w:pPr>
              <w:widowControl/>
              <w:spacing w:line="240" w:lineRule="auto"/>
              <w:jc w:val="center"/>
              <w:rPr>
                <w:rFonts w:hint="eastAsia" w:ascii="黑体" w:hAnsi="黑体" w:eastAsia="黑体" w:cs="黑体"/>
                <w:color w:val="000000"/>
                <w:kern w:val="0"/>
                <w:sz w:val="24"/>
                <w:szCs w:val="24"/>
              </w:rPr>
            </w:pPr>
          </w:p>
        </w:tc>
        <w:tc>
          <w:tcPr>
            <w:tcW w:w="1328" w:type="dxa"/>
            <w:vAlign w:val="center"/>
          </w:tcPr>
          <w:p>
            <w:pPr>
              <w:widowControl/>
              <w:spacing w:line="240" w:lineRule="auto"/>
              <w:jc w:val="center"/>
              <w:rPr>
                <w:rFonts w:hint="eastAsia" w:ascii="黑体" w:hAnsi="黑体" w:eastAsia="黑体" w:cs="黑体"/>
                <w:color w:val="000000"/>
                <w:kern w:val="0"/>
                <w:sz w:val="24"/>
                <w:szCs w:val="24"/>
              </w:rPr>
            </w:pPr>
          </w:p>
        </w:tc>
        <w:tc>
          <w:tcPr>
            <w:tcW w:w="987" w:type="dxa"/>
            <w:vAlign w:val="center"/>
          </w:tcPr>
          <w:p>
            <w:pPr>
              <w:widowControl/>
              <w:spacing w:line="240" w:lineRule="auto"/>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82" w:type="dxa"/>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2</w:t>
            </w:r>
          </w:p>
        </w:tc>
        <w:tc>
          <w:tcPr>
            <w:tcW w:w="1035" w:type="dxa"/>
            <w:vAlign w:val="center"/>
          </w:tcPr>
          <w:p>
            <w:pPr>
              <w:widowControl/>
              <w:spacing w:line="240" w:lineRule="auto"/>
              <w:jc w:val="center"/>
              <w:rPr>
                <w:rFonts w:hint="eastAsia" w:ascii="黑体" w:hAnsi="黑体" w:eastAsia="黑体" w:cs="黑体"/>
                <w:color w:val="000000"/>
                <w:kern w:val="0"/>
                <w:sz w:val="24"/>
                <w:szCs w:val="24"/>
              </w:rPr>
            </w:pPr>
          </w:p>
        </w:tc>
        <w:tc>
          <w:tcPr>
            <w:tcW w:w="1103" w:type="dxa"/>
            <w:vAlign w:val="center"/>
          </w:tcPr>
          <w:p>
            <w:pPr>
              <w:widowControl/>
              <w:spacing w:line="240" w:lineRule="auto"/>
              <w:jc w:val="center"/>
              <w:rPr>
                <w:rFonts w:hint="eastAsia" w:ascii="黑体" w:hAnsi="黑体" w:eastAsia="黑体" w:cs="黑体"/>
                <w:color w:val="000000"/>
                <w:kern w:val="0"/>
                <w:sz w:val="24"/>
                <w:szCs w:val="24"/>
              </w:rPr>
            </w:pPr>
          </w:p>
        </w:tc>
        <w:tc>
          <w:tcPr>
            <w:tcW w:w="994" w:type="dxa"/>
            <w:vAlign w:val="center"/>
          </w:tcPr>
          <w:p>
            <w:pPr>
              <w:widowControl/>
              <w:spacing w:line="240" w:lineRule="auto"/>
              <w:jc w:val="center"/>
              <w:rPr>
                <w:rFonts w:hint="eastAsia" w:ascii="黑体" w:hAnsi="黑体" w:eastAsia="黑体" w:cs="黑体"/>
                <w:color w:val="000000"/>
                <w:kern w:val="0"/>
                <w:sz w:val="24"/>
                <w:szCs w:val="24"/>
              </w:rPr>
            </w:pPr>
          </w:p>
        </w:tc>
        <w:tc>
          <w:tcPr>
            <w:tcW w:w="1167" w:type="dxa"/>
            <w:vAlign w:val="center"/>
          </w:tcPr>
          <w:p>
            <w:pPr>
              <w:widowControl/>
              <w:spacing w:line="240" w:lineRule="auto"/>
              <w:jc w:val="center"/>
              <w:rPr>
                <w:rFonts w:hint="eastAsia" w:ascii="黑体" w:hAnsi="黑体" w:eastAsia="黑体" w:cs="黑体"/>
                <w:color w:val="000000"/>
                <w:kern w:val="0"/>
                <w:sz w:val="24"/>
                <w:szCs w:val="24"/>
              </w:rPr>
            </w:pPr>
          </w:p>
        </w:tc>
        <w:tc>
          <w:tcPr>
            <w:tcW w:w="1326" w:type="dxa"/>
            <w:vAlign w:val="center"/>
          </w:tcPr>
          <w:p>
            <w:pPr>
              <w:widowControl/>
              <w:spacing w:line="240" w:lineRule="auto"/>
              <w:jc w:val="center"/>
              <w:rPr>
                <w:rFonts w:hint="eastAsia" w:ascii="黑体" w:hAnsi="黑体" w:eastAsia="黑体" w:cs="黑体"/>
                <w:color w:val="000000"/>
                <w:kern w:val="0"/>
                <w:sz w:val="24"/>
                <w:szCs w:val="24"/>
              </w:rPr>
            </w:pPr>
          </w:p>
        </w:tc>
        <w:tc>
          <w:tcPr>
            <w:tcW w:w="1328" w:type="dxa"/>
            <w:vAlign w:val="center"/>
          </w:tcPr>
          <w:p>
            <w:pPr>
              <w:widowControl/>
              <w:spacing w:line="240" w:lineRule="auto"/>
              <w:jc w:val="center"/>
              <w:rPr>
                <w:rFonts w:hint="eastAsia" w:ascii="黑体" w:hAnsi="黑体" w:eastAsia="黑体" w:cs="黑体"/>
                <w:color w:val="000000"/>
                <w:kern w:val="0"/>
                <w:sz w:val="24"/>
                <w:szCs w:val="24"/>
              </w:rPr>
            </w:pPr>
          </w:p>
        </w:tc>
        <w:tc>
          <w:tcPr>
            <w:tcW w:w="987" w:type="dxa"/>
            <w:vAlign w:val="center"/>
          </w:tcPr>
          <w:p>
            <w:pPr>
              <w:spacing w:line="240" w:lineRule="auto"/>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82" w:type="dxa"/>
          </w:tcPr>
          <w:p>
            <w:pPr>
              <w:spacing w:line="240" w:lineRule="auto"/>
              <w:jc w:val="center"/>
              <w:rPr>
                <w:rFonts w:hint="eastAsia" w:ascii="黑体" w:hAnsi="黑体" w:eastAsia="黑体" w:cs="黑体"/>
                <w:b/>
                <w:bCs/>
                <w:color w:val="000000"/>
                <w:sz w:val="24"/>
                <w:szCs w:val="24"/>
              </w:rPr>
            </w:pPr>
            <w:r>
              <w:rPr>
                <w:rFonts w:hint="eastAsia" w:ascii="黑体" w:hAnsi="黑体" w:eastAsia="黑体" w:cs="黑体"/>
                <w:b/>
                <w:bCs/>
                <w:color w:val="000000"/>
                <w:sz w:val="24"/>
                <w:szCs w:val="24"/>
              </w:rPr>
              <w:t>3</w:t>
            </w:r>
          </w:p>
        </w:tc>
        <w:tc>
          <w:tcPr>
            <w:tcW w:w="1035" w:type="dxa"/>
            <w:vAlign w:val="center"/>
          </w:tcPr>
          <w:p>
            <w:pPr>
              <w:widowControl/>
              <w:spacing w:line="240" w:lineRule="auto"/>
              <w:jc w:val="center"/>
              <w:rPr>
                <w:rFonts w:hint="eastAsia" w:ascii="黑体" w:hAnsi="黑体" w:eastAsia="黑体" w:cs="黑体"/>
                <w:color w:val="000000"/>
                <w:kern w:val="0"/>
                <w:sz w:val="24"/>
                <w:szCs w:val="24"/>
              </w:rPr>
            </w:pPr>
          </w:p>
        </w:tc>
        <w:tc>
          <w:tcPr>
            <w:tcW w:w="1103" w:type="dxa"/>
            <w:vAlign w:val="center"/>
          </w:tcPr>
          <w:p>
            <w:pPr>
              <w:widowControl/>
              <w:spacing w:line="240" w:lineRule="auto"/>
              <w:jc w:val="center"/>
              <w:rPr>
                <w:rFonts w:hint="eastAsia" w:ascii="黑体" w:hAnsi="黑体" w:eastAsia="黑体" w:cs="黑体"/>
                <w:color w:val="000000"/>
                <w:kern w:val="0"/>
                <w:sz w:val="24"/>
                <w:szCs w:val="24"/>
              </w:rPr>
            </w:pPr>
          </w:p>
        </w:tc>
        <w:tc>
          <w:tcPr>
            <w:tcW w:w="994" w:type="dxa"/>
            <w:vAlign w:val="center"/>
          </w:tcPr>
          <w:p>
            <w:pPr>
              <w:widowControl/>
              <w:spacing w:line="240" w:lineRule="auto"/>
              <w:jc w:val="center"/>
              <w:rPr>
                <w:rFonts w:hint="eastAsia" w:ascii="黑体" w:hAnsi="黑体" w:eastAsia="黑体" w:cs="黑体"/>
                <w:color w:val="000000"/>
                <w:kern w:val="0"/>
                <w:sz w:val="24"/>
                <w:szCs w:val="24"/>
              </w:rPr>
            </w:pPr>
          </w:p>
        </w:tc>
        <w:tc>
          <w:tcPr>
            <w:tcW w:w="1167" w:type="dxa"/>
            <w:vAlign w:val="center"/>
          </w:tcPr>
          <w:p>
            <w:pPr>
              <w:widowControl/>
              <w:spacing w:line="240" w:lineRule="auto"/>
              <w:jc w:val="center"/>
              <w:rPr>
                <w:rFonts w:hint="eastAsia" w:ascii="黑体" w:hAnsi="黑体" w:eastAsia="黑体" w:cs="黑体"/>
                <w:color w:val="000000"/>
                <w:kern w:val="0"/>
                <w:sz w:val="24"/>
                <w:szCs w:val="24"/>
              </w:rPr>
            </w:pPr>
          </w:p>
        </w:tc>
        <w:tc>
          <w:tcPr>
            <w:tcW w:w="1326" w:type="dxa"/>
            <w:vAlign w:val="center"/>
          </w:tcPr>
          <w:p>
            <w:pPr>
              <w:widowControl/>
              <w:spacing w:line="240" w:lineRule="auto"/>
              <w:jc w:val="center"/>
              <w:rPr>
                <w:rFonts w:hint="eastAsia" w:ascii="黑体" w:hAnsi="黑体" w:eastAsia="黑体" w:cs="黑体"/>
                <w:color w:val="000000"/>
                <w:kern w:val="0"/>
                <w:sz w:val="24"/>
                <w:szCs w:val="24"/>
              </w:rPr>
            </w:pPr>
          </w:p>
        </w:tc>
        <w:tc>
          <w:tcPr>
            <w:tcW w:w="1328" w:type="dxa"/>
            <w:vAlign w:val="center"/>
          </w:tcPr>
          <w:p>
            <w:pPr>
              <w:widowControl/>
              <w:spacing w:line="240" w:lineRule="auto"/>
              <w:jc w:val="center"/>
              <w:rPr>
                <w:rFonts w:hint="eastAsia" w:ascii="黑体" w:hAnsi="黑体" w:eastAsia="黑体" w:cs="黑体"/>
                <w:color w:val="000000"/>
                <w:kern w:val="0"/>
                <w:sz w:val="24"/>
                <w:szCs w:val="24"/>
              </w:rPr>
            </w:pPr>
          </w:p>
        </w:tc>
        <w:tc>
          <w:tcPr>
            <w:tcW w:w="987" w:type="dxa"/>
            <w:vAlign w:val="center"/>
          </w:tcPr>
          <w:p>
            <w:pPr>
              <w:spacing w:line="240" w:lineRule="auto"/>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82" w:type="dxa"/>
          </w:tcPr>
          <w:p>
            <w:pPr>
              <w:spacing w:line="240" w:lineRule="auto"/>
              <w:jc w:val="center"/>
              <w:rPr>
                <w:rFonts w:hint="eastAsia" w:ascii="黑体" w:hAnsi="黑体" w:eastAsia="黑体" w:cs="黑体"/>
                <w:color w:val="000000"/>
                <w:sz w:val="24"/>
                <w:szCs w:val="24"/>
              </w:rPr>
            </w:pPr>
          </w:p>
        </w:tc>
        <w:tc>
          <w:tcPr>
            <w:tcW w:w="1035" w:type="dxa"/>
            <w:vAlign w:val="center"/>
          </w:tcPr>
          <w:p>
            <w:pPr>
              <w:spacing w:line="240" w:lineRule="auto"/>
              <w:jc w:val="center"/>
              <w:rPr>
                <w:rFonts w:hint="eastAsia" w:ascii="黑体" w:hAnsi="黑体" w:eastAsia="黑体" w:cs="黑体"/>
                <w:color w:val="000000"/>
                <w:sz w:val="24"/>
                <w:szCs w:val="24"/>
              </w:rPr>
            </w:pPr>
            <w:r>
              <w:rPr>
                <w:rFonts w:hint="eastAsia" w:ascii="黑体" w:hAnsi="黑体" w:eastAsia="黑体" w:cs="黑体"/>
                <w:b/>
                <w:bCs/>
                <w:color w:val="000000"/>
                <w:sz w:val="24"/>
                <w:szCs w:val="24"/>
              </w:rPr>
              <w:t>合计</w:t>
            </w:r>
          </w:p>
        </w:tc>
        <w:tc>
          <w:tcPr>
            <w:tcW w:w="1103" w:type="dxa"/>
            <w:vAlign w:val="center"/>
          </w:tcPr>
          <w:p>
            <w:pPr>
              <w:widowControl/>
              <w:spacing w:line="240" w:lineRule="auto"/>
              <w:jc w:val="center"/>
              <w:rPr>
                <w:rFonts w:hint="eastAsia" w:ascii="黑体" w:hAnsi="黑体" w:eastAsia="黑体" w:cs="黑体"/>
                <w:color w:val="000000"/>
                <w:kern w:val="0"/>
                <w:sz w:val="24"/>
                <w:szCs w:val="24"/>
              </w:rPr>
            </w:pPr>
          </w:p>
        </w:tc>
        <w:tc>
          <w:tcPr>
            <w:tcW w:w="994" w:type="dxa"/>
            <w:vAlign w:val="center"/>
          </w:tcPr>
          <w:p>
            <w:pPr>
              <w:widowControl/>
              <w:spacing w:line="240" w:lineRule="auto"/>
              <w:jc w:val="center"/>
              <w:rPr>
                <w:rFonts w:hint="eastAsia" w:ascii="黑体" w:hAnsi="黑体" w:eastAsia="黑体" w:cs="黑体"/>
                <w:color w:val="000000"/>
                <w:kern w:val="0"/>
                <w:sz w:val="24"/>
                <w:szCs w:val="24"/>
              </w:rPr>
            </w:pPr>
          </w:p>
        </w:tc>
        <w:tc>
          <w:tcPr>
            <w:tcW w:w="1167" w:type="dxa"/>
            <w:vAlign w:val="center"/>
          </w:tcPr>
          <w:p>
            <w:pPr>
              <w:widowControl/>
              <w:spacing w:line="240" w:lineRule="auto"/>
              <w:jc w:val="center"/>
              <w:rPr>
                <w:rFonts w:hint="eastAsia" w:ascii="黑体" w:hAnsi="黑体" w:eastAsia="黑体" w:cs="黑体"/>
                <w:color w:val="000000"/>
                <w:kern w:val="0"/>
                <w:sz w:val="24"/>
                <w:szCs w:val="24"/>
              </w:rPr>
            </w:pPr>
          </w:p>
        </w:tc>
        <w:tc>
          <w:tcPr>
            <w:tcW w:w="1326" w:type="dxa"/>
            <w:vAlign w:val="center"/>
          </w:tcPr>
          <w:p>
            <w:pPr>
              <w:widowControl/>
              <w:spacing w:line="240" w:lineRule="auto"/>
              <w:jc w:val="center"/>
              <w:rPr>
                <w:rFonts w:hint="eastAsia" w:ascii="黑体" w:hAnsi="黑体" w:eastAsia="黑体" w:cs="黑体"/>
                <w:color w:val="000000"/>
                <w:kern w:val="0"/>
                <w:sz w:val="24"/>
                <w:szCs w:val="24"/>
              </w:rPr>
            </w:pPr>
          </w:p>
        </w:tc>
        <w:tc>
          <w:tcPr>
            <w:tcW w:w="1328" w:type="dxa"/>
            <w:vAlign w:val="center"/>
          </w:tcPr>
          <w:p>
            <w:pPr>
              <w:widowControl/>
              <w:spacing w:line="240" w:lineRule="auto"/>
              <w:jc w:val="center"/>
              <w:rPr>
                <w:rFonts w:hint="eastAsia" w:ascii="黑体" w:hAnsi="黑体" w:eastAsia="黑体" w:cs="黑体"/>
                <w:color w:val="000000"/>
                <w:kern w:val="0"/>
                <w:sz w:val="24"/>
                <w:szCs w:val="24"/>
              </w:rPr>
            </w:pPr>
          </w:p>
        </w:tc>
        <w:tc>
          <w:tcPr>
            <w:tcW w:w="987" w:type="dxa"/>
            <w:vAlign w:val="center"/>
          </w:tcPr>
          <w:p>
            <w:pPr>
              <w:widowControl/>
              <w:spacing w:line="240" w:lineRule="auto"/>
              <w:jc w:val="center"/>
              <w:rPr>
                <w:rFonts w:hint="eastAsia" w:ascii="黑体" w:hAnsi="黑体" w:eastAsia="黑体" w:cs="黑体"/>
                <w:color w:val="000000"/>
                <w:kern w:val="0"/>
                <w:sz w:val="24"/>
                <w:szCs w:val="24"/>
              </w:rPr>
            </w:pPr>
          </w:p>
        </w:tc>
      </w:tr>
    </w:tbl>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增资款的缴付</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投资方在【】年【】月【】日前支付全部投资款【】万元，并将该部分投资款划入标的公司指定的如下述银行账户：</w:t>
      </w:r>
    </w:p>
    <w:p>
      <w:pPr>
        <w:spacing w:line="240" w:lineRule="auto"/>
        <w:ind w:firstLine="960" w:firstLineChars="400"/>
        <w:jc w:val="both"/>
        <w:rPr>
          <w:rFonts w:hint="eastAsia" w:ascii="黑体" w:hAnsi="黑体" w:eastAsia="黑体" w:cs="黑体"/>
          <w:sz w:val="24"/>
          <w:szCs w:val="24"/>
        </w:rPr>
      </w:pPr>
      <w:r>
        <w:rPr>
          <w:rFonts w:hint="eastAsia" w:ascii="黑体" w:hAnsi="黑体" w:eastAsia="黑体" w:cs="黑体"/>
          <w:sz w:val="24"/>
          <w:szCs w:val="24"/>
        </w:rPr>
        <w:t>开户名：【】股份有限公司</w:t>
      </w:r>
    </w:p>
    <w:p>
      <w:pPr>
        <w:spacing w:line="240" w:lineRule="auto"/>
        <w:ind w:firstLine="960" w:firstLineChars="400"/>
        <w:jc w:val="both"/>
        <w:rPr>
          <w:rFonts w:hint="eastAsia" w:ascii="黑体" w:hAnsi="黑体" w:eastAsia="黑体" w:cs="黑体"/>
          <w:sz w:val="24"/>
          <w:szCs w:val="24"/>
        </w:rPr>
      </w:pPr>
      <w:r>
        <w:rPr>
          <w:rFonts w:hint="eastAsia" w:ascii="黑体" w:hAnsi="黑体" w:eastAsia="黑体" w:cs="黑体"/>
          <w:sz w:val="24"/>
          <w:szCs w:val="24"/>
        </w:rPr>
        <w:t>开户银行：【】</w:t>
      </w:r>
    </w:p>
    <w:p>
      <w:pPr>
        <w:spacing w:line="240" w:lineRule="auto"/>
        <w:ind w:firstLine="960" w:firstLineChars="400"/>
        <w:jc w:val="both"/>
        <w:rPr>
          <w:rFonts w:hint="eastAsia" w:ascii="黑体" w:hAnsi="黑体" w:eastAsia="黑体" w:cs="黑体"/>
          <w:sz w:val="24"/>
          <w:szCs w:val="24"/>
        </w:rPr>
      </w:pPr>
      <w:r>
        <w:rPr>
          <w:rFonts w:hint="eastAsia" w:ascii="黑体" w:hAnsi="黑体" w:eastAsia="黑体" w:cs="黑体"/>
          <w:sz w:val="24"/>
          <w:szCs w:val="24"/>
        </w:rPr>
        <w:t>账号：【】</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在投资方缴纳3.1条所述出资后，标的公司应于【】日内出具验资报告和出资证明，并且根据增资情况变更公司股权登记表。</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章程修改</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标的公司应在投资方缴付出资后【】日内召开股东大会，根据本协议规定修改公司章程，改选公司董事会、监事会。</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董事会的改选：董事会由【】名董事组成，其中投资方推荐【】名候选董事，原股东一致承诺在股东大会上选举候选董事为标的公司董事。</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监事会的改选：监事会由【】名监事组成，其中投资方推荐【】名候选监事，原股东一致承诺同意选举候选监事为标的公司监事。</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根据本协议约定的其他修改事项。</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标的公司应于股东大会完成后【】日内负责工商变更登记，并且负担本次登记所需一切费用。</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如果标的公司未按4.5条约定按时办理相关验资和工商变更手续，且逾期30天仍无法办理相应的工商变更登记手续(由于政府方面原因或不可抗力的因素情形除外)，投资方有权以书面通知的形式提出终止本协议，标的公司应于本协议终止后</w:t>
      </w:r>
      <w:r>
        <w:rPr>
          <w:rFonts w:hint="eastAsia" w:ascii="黑体" w:hAnsi="黑体" w:eastAsia="黑体" w:cs="黑体"/>
          <w:kern w:val="0"/>
          <w:sz w:val="24"/>
          <w:szCs w:val="24"/>
        </w:rPr>
        <w:t>【】</w:t>
      </w:r>
      <w:r>
        <w:rPr>
          <w:rFonts w:hint="eastAsia" w:ascii="黑体" w:hAnsi="黑体" w:eastAsia="黑体" w:cs="黑体"/>
          <w:sz w:val="24"/>
          <w:szCs w:val="24"/>
        </w:rPr>
        <w:t>个工作日内退还投资方已经支付的全部出资款，并返还等同该笔款项银行同期贷款产生的利息。原股东对公司上述款项的返还承担连带责任。</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有关税费承担</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本次增资所涉及的税费（包括但不限于审计费、评估费、律师费、工商登记变更相关费用等）由标的公司承担。</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投资方出资的验资费用由投资方承担。</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利润分配与亏损承担</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各方一致确认，依据</w:t>
      </w:r>
      <w:r>
        <w:rPr>
          <w:rFonts w:hint="eastAsia" w:ascii="黑体" w:hAnsi="黑体" w:eastAsia="黑体" w:cs="黑体"/>
          <w:kern w:val="0"/>
          <w:sz w:val="24"/>
          <w:szCs w:val="24"/>
        </w:rPr>
        <w:t>《评估报告》，标的公司净资产【】万元，负债【】万元，滚存利润【】万元</w:t>
      </w:r>
      <w:r>
        <w:rPr>
          <w:rFonts w:hint="eastAsia" w:ascii="黑体" w:hAnsi="黑体" w:eastAsia="黑体" w:cs="黑体"/>
          <w:sz w:val="24"/>
          <w:szCs w:val="24"/>
        </w:rPr>
        <w:t>。</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标的公司所有债权、滚存利润由投资方和原股东（以下简称“新老股东”）共同享有，所有债务由新老股东共同承担。</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过渡期标的公司产生的新的利润由新老股东共同享有，债务由新老股东共同承担。</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标的公司及原股东一致承诺，除《审计报告》所反映的债务外，标的公司不存在其他任何债务，否则，由原股东以个人资产承担，且投资方因此有权解除本协议。</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董事会的权限</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标的公司董事会至少每半年召开一次会议，听取公司日常经营情况汇报。以下决议事项需要经公司董事会三分之二以上董事同意方能通过：</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增加或者减少注册资本；</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公司合并、分立、被收购、解散、清算或者变更公司形式；</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公司业务范围、本质和/或业务活动的重大改变；</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并购和处置（包括购买及处置）超过【】万元的主要资产；</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商标、专利、专有技术等知识产权的购买、出售、租赁及其它处置；</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公司向银行单笔贷款超过【】万元或累计超过【】万元的额外债务；</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对外担保；</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对外提供贷款；</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对公司及其子公司的股东协议、备忘录及章程条款的增补、修改或删除；</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将改变或变更任何股东的权利、义务或责任，或稀释任何股东的所有权比例的任何诉讼；</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股息或其它分配的宣告和派发及公司股息政策的任何改变；</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订立任何投资性的互换、期货或期权交易；</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提起或和解金额超过【】万元的任何重大法律诉讼、仲裁；</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聘请或更换公司审计师；</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设立超过【】万元的参、控股子公司、合资企业、合伙企业或对外投资，或以转让、增资或其它形式处置上述单位的投资；</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超过经批准的年度预算【】万元的资本性支出（经批准的年度预算额度外）；</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公司上市计划；</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公司新的融资计划；</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聘任或解聘公司总经理、副总经理、董事会秘书或财务负责人等公司高级管理人员；</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采纳或修改标准雇佣合同或高管薪酬和福利计划；</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制定或修订任何雇员期权计划、高管期权激励计划或方案；</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利润分配方案；</w:t>
      </w:r>
    </w:p>
    <w:p>
      <w:pPr>
        <w:pStyle w:val="11"/>
        <w:numPr>
          <w:ilvl w:val="0"/>
          <w:numId w:val="5"/>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其它可能对公司生产经营、业绩、资产等产生重大影响的事宜。</w:t>
      </w:r>
    </w:p>
    <w:p>
      <w:pPr>
        <w:pStyle w:val="11"/>
        <w:spacing w:line="240" w:lineRule="auto"/>
        <w:ind w:left="1418"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声明、保证和承诺</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各方声明、保证和承诺如下：</w:t>
      </w: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1"/>
          <w:numId w:val="6"/>
        </w:numPr>
        <w:spacing w:line="240" w:lineRule="auto"/>
        <w:ind w:firstLineChars="0"/>
        <w:jc w:val="both"/>
        <w:rPr>
          <w:rFonts w:hint="eastAsia" w:ascii="黑体" w:hAnsi="黑体" w:eastAsia="黑体" w:cs="黑体"/>
          <w:vanish/>
          <w:sz w:val="24"/>
          <w:szCs w:val="24"/>
        </w:rPr>
      </w:pPr>
    </w:p>
    <w:p>
      <w:pPr>
        <w:pStyle w:val="11"/>
        <w:numPr>
          <w:ilvl w:val="0"/>
          <w:numId w:val="7"/>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标的公司为依据中国法律设立且合法存续的企业法人，投资方为依据中国法律设立且合法存续的有限合伙企业，有权从事本协议约定事项；</w:t>
      </w:r>
    </w:p>
    <w:p>
      <w:pPr>
        <w:pStyle w:val="11"/>
        <w:numPr>
          <w:ilvl w:val="0"/>
          <w:numId w:val="7"/>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其对本协议以及相关文件和协议的签订，均已获得所有必需的表决、批准及其他须采取的合法形式的授权。</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 xml:space="preserve">标的公司和原股东向投资方声明、承诺及保证如下： </w:t>
      </w:r>
    </w:p>
    <w:p>
      <w:pPr>
        <w:pStyle w:val="11"/>
        <w:numPr>
          <w:ilvl w:val="1"/>
          <w:numId w:val="6"/>
        </w:numPr>
        <w:spacing w:line="240" w:lineRule="auto"/>
        <w:ind w:firstLineChars="0"/>
        <w:jc w:val="both"/>
        <w:rPr>
          <w:rFonts w:hint="eastAsia" w:ascii="黑体" w:hAnsi="黑体" w:eastAsia="黑体" w:cs="黑体"/>
          <w:vanish/>
          <w:sz w:val="24"/>
          <w:szCs w:val="24"/>
        </w:rPr>
      </w:pP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原股东已全额缴足其对标的公司注册资本的出资额，并经验资及取得验资报告，不存在任何虚假出资或抽逃出资的行为；</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截至投资方缴付增资款之日，原股东持有的标的公司股权不存在质押或其他任何形式的担保或第三者权益；</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截至投资方缴付增资款之日，标的公司合法取得并有效拥有经营其业务（包括但不限于生产和销售等）所必需的全部授权、批准、许可，并且有权签署和履行与其经营业务相关的各类合同；</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投资方缴付增资款之日，标的公司全部债务和或有债务(包括但不限于任何抵押、担保、留置、质押或第三者权益)已向投资方如实、全部披露；如存在任何未向【】书面披露的具有实质影响的债务及或有债务，原股东将承担全部连带清偿责任；</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本协议签署日，标的公司不存在任何未对投资方书面披露的具有实质影响的诉讼或纠纷，不存在任何未对投资方书面披露的其本身或高级管理人员触犯刑事责任的情况或正式指控，以及具有任何严重影响的被权利人追偿的情况，或其他具有严重影响的潜在纠纷；</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截至本协议签署日，标的公司不存在任何未对投资方书面披露的违反税务、工商、海关、外汇、环保、劳动保障等法律法规的情形导致的有关行政机关的正式通知或处罚；</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截至投资方缴付增资款之日，标的公司不存在任何未对投资方书面披露的应缴付而未缴付或清偿的税款。</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截至投资方缴付增资款之日，标的公司合法拥有其于基准日经审计和评估的资产负债表以及固定资产清单、设备清单或其他清单所载资产的所有权，且已获得并有效持有与该等资产相关的全部所有权证书（已经披露的除外）；</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过渡期内，标的公司保持管理团队和关键技术人员的稳定，并实施有行业竞争力的薪酬制度。</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过渡期内，标的公司的经营或财务状况等方面没有发生重大的不利变化(由投资方根据独立判断作出决定)，未进行任何形式的利润分配。</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过渡期内，标的公司未在任何资产或财产上设立或允许设立任何权利负担。标的公司没有以任何方式直接或者间接地处置其主要资产，也没有发生或承担任何重大债务(通常业务经营中的处置或负债除外)。</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过渡期内，不得聘用或解聘任何关键员工，或提高或承诺提高其应付给其雇员的工资、薪水、补偿、奖金、激励报酬、退休金或其他福利且提高幅度在【】以上，任何关键员工辞职的，标的公司均应在该员工辞职</w:t>
      </w:r>
      <w:r>
        <w:rPr>
          <w:rFonts w:hint="eastAsia" w:ascii="黑体" w:hAnsi="黑体" w:eastAsia="黑体" w:cs="黑体"/>
          <w:sz w:val="24"/>
          <w:szCs w:val="24"/>
        </w:rPr>
        <w:t>【】内通知投资方</w:t>
      </w:r>
      <w:r>
        <w:rPr>
          <w:rFonts w:hint="eastAsia" w:ascii="黑体" w:hAnsi="黑体" w:eastAsia="黑体" w:cs="黑体"/>
          <w:sz w:val="24"/>
          <w:szCs w:val="24"/>
        </w:rPr>
        <w:t>。</w:t>
      </w:r>
    </w:p>
    <w:p>
      <w:pPr>
        <w:pStyle w:val="11"/>
        <w:numPr>
          <w:ilvl w:val="0"/>
          <w:numId w:val="8"/>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若发生标的公司进行清算情形，所有投资方有权优于其他股东以现金方式获得其全部投资本金。在投资者获得现金或者可流通证券形式的投资本金后，公司剩余的按照法律规定可分配给股东的其它财产将根据持股比例分配给公司的其他股东。</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 xml:space="preserve">投资方向标的公司方声明、保证和承诺如下： </w:t>
      </w:r>
    </w:p>
    <w:p>
      <w:pPr>
        <w:pStyle w:val="11"/>
        <w:numPr>
          <w:ilvl w:val="1"/>
          <w:numId w:val="6"/>
        </w:numPr>
        <w:spacing w:line="240" w:lineRule="auto"/>
        <w:ind w:firstLineChars="0"/>
        <w:jc w:val="both"/>
        <w:rPr>
          <w:rFonts w:hint="eastAsia" w:ascii="黑体" w:hAnsi="黑体" w:eastAsia="黑体" w:cs="黑体"/>
          <w:vanish/>
          <w:sz w:val="24"/>
          <w:szCs w:val="24"/>
        </w:rPr>
      </w:pPr>
    </w:p>
    <w:p>
      <w:pPr>
        <w:pStyle w:val="11"/>
        <w:numPr>
          <w:ilvl w:val="0"/>
          <w:numId w:val="9"/>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按照本协议的约定按期、足额缴付增资款；</w:t>
      </w:r>
    </w:p>
    <w:p>
      <w:pPr>
        <w:pStyle w:val="11"/>
        <w:numPr>
          <w:ilvl w:val="0"/>
          <w:numId w:val="9"/>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遵守并合理履行本协议中约定的各项义务；</w:t>
      </w:r>
    </w:p>
    <w:p>
      <w:pPr>
        <w:pStyle w:val="11"/>
        <w:numPr>
          <w:ilvl w:val="0"/>
          <w:numId w:val="9"/>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本协议签署之日起至增资完成之前，经营、财政状况或财务前景将不会发生对该方履行本协议项下义务的能力产生实质性不利影响的任何变化；</w:t>
      </w:r>
    </w:p>
    <w:p>
      <w:pPr>
        <w:pStyle w:val="11"/>
        <w:numPr>
          <w:ilvl w:val="0"/>
          <w:numId w:val="9"/>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除非获得本协议其他方的书面许可，在本协议签署之时到增资完成之前，投资方不存在也将不会存在与本协议之外的其他方洽谈、签署任何与标的公司的股权交易和投资合作有关的合同、协议、备忘录、纪要等文件的活动。</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若任何以上承诺、保证和声明在实质意义上不真实，则作出不真实承诺、保证和声明的一方应向其他方赔偿因其不真实承诺、保证和声明给其他方造成的经济损失。</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标的公司上市前的股权转让限制</w:t>
      </w:r>
    </w:p>
    <w:p>
      <w:pPr>
        <w:pStyle w:val="11"/>
        <w:spacing w:line="240" w:lineRule="auto"/>
        <w:ind w:left="900" w:firstLine="0" w:firstLineChars="0"/>
        <w:jc w:val="both"/>
        <w:rPr>
          <w:rFonts w:hint="eastAsia" w:ascii="黑体" w:hAnsi="黑体" w:eastAsia="黑体" w:cs="黑体"/>
          <w:b/>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完成后至标的公司首次公开发行股票并上市前，在投资方持有标的公司股权期间，未经投资方书面同意，管理层股东向公司其他股东或公司股东以外的第三方转让股权时：（1）不得进行可能导致公司实际控制人发生变化的股权转让行为；（2）不得进行可能导致实际控制人发生变化的股权质押等任何行为；（3）管理层股东或投资方认为有必要的关键股东进行股权转让时，不得超过其所持有标的公司股份的5% （投资方书面同意可进行的股权转让除外）。</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本协议第9.1条约定的转让股权包括仅以协议方式作出约定而不办理工商变更登记的转让，或其它任何形式的股权转让或控制权转移。</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管理层股东经投资方书面同意向公司股东以外的第三方转让股权时，投资方享有下列选择权：(1)按第三方给出的相同条款和条件购买管理层股东拟出售的股份；(2) 按第三方给出的相同条款和条件，根据管理层股东及投资方当时的持股比例共同出售股份。投资方选择按相同条款和条件与管理层股东按持股比例共同出售股份给同一受让方的，管理层股东应保证受让方优先购买投资方的股份。</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管理层股东经投资方同意向公司股东以外的第三方转让其股权的，管理层股东应保证股权受让方签署接受本协议条款的协议。</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在标的公司首次公开发行股票并上市前，原股东及标的公司不得有其他影响标的公司上市或者影响投资方利益的股权变更行为。</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方享有参与公司未来权益证券的发行、购买该等权益证券及转换或交换该等权益证券的权利，以在公司首次公开发行股票并上市前维持其在公司完全摊薄后的股权比例。但这一权利不适用于公司批准的员工认购权计划、股票购买计划，或类似的福利计划或协议而做的证券发行，也不适用于作为公司购买或合并其它企业的对价而发行证券的情形。</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投资方持有的标的公司股权可在标的公司首次公开发行股票并上市及根据上市交易所上市规则要求的禁售期满后出售全部或部分股份。</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bookmarkStart w:id="2" w:name="_Toc240693225"/>
      <w:bookmarkStart w:id="3" w:name="_Toc321043684"/>
      <w:r>
        <w:rPr>
          <w:rFonts w:hint="eastAsia" w:ascii="黑体" w:hAnsi="黑体" w:eastAsia="黑体" w:cs="黑体"/>
          <w:b/>
          <w:sz w:val="24"/>
          <w:szCs w:val="24"/>
        </w:rPr>
        <w:t>唯一性和竞业禁止</w:t>
      </w:r>
      <w:bookmarkEnd w:id="2"/>
      <w:bookmarkEnd w:id="3"/>
    </w:p>
    <w:p>
      <w:pPr>
        <w:pStyle w:val="11"/>
        <w:spacing w:line="240" w:lineRule="auto"/>
        <w:ind w:left="900" w:firstLine="0" w:firstLineChars="0"/>
        <w:jc w:val="both"/>
        <w:rPr>
          <w:rFonts w:hint="eastAsia" w:ascii="黑体" w:hAnsi="黑体" w:eastAsia="黑体" w:cs="黑体"/>
          <w:b/>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未经投资方书面同意，管理层股东及其他股东不得单独设立或以任何形式(包括但不限于以股东、合伙人、董事、监事、经理、职员、代理人、顾问等等身份)参与设立新的生产同类产品或与公司业务相关联其他经营实体，作为参与公司日常经营管理的公司股东不得在其他企业兼职，无论该企业从事何种业务。</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 xml:space="preserve">管理层股东及其他股东和公司承诺，应促使公司主要管理人员和核心业务人员与公司签订《竞业禁止协议》，该等协议条款和形式应令投资方满意并且至少包括以下内容：在任职期间内不得以任何形式从事或帮助他人从事与公司形成竞争关系的任何其它业务经营活动，在离开公司2年内不得在与公司经营业务相关的企业任职；另外还应约定在任职期间不得在其他任何公司或营利性组织中兼职。 </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同意，如果公司上述主要管理人员和技术人员违反《竞业禁止协议》，致使标的公司或投资方的利益受到损害的，除该等人员须赔偿公司及投资方损失外，管理层股东及其他股东应就标的公司或投资方遭受的损失承担连带赔偿责任。</w:t>
      </w:r>
    </w:p>
    <w:p>
      <w:pPr>
        <w:adjustRightInd w:val="0"/>
        <w:snapToGrid w:val="0"/>
        <w:spacing w:line="240" w:lineRule="auto"/>
        <w:ind w:left="360"/>
        <w:jc w:val="both"/>
        <w:rPr>
          <w:rFonts w:hint="eastAsia" w:ascii="黑体" w:hAnsi="黑体" w:eastAsia="黑体" w:cs="黑体"/>
          <w:sz w:val="24"/>
          <w:szCs w:val="24"/>
        </w:rPr>
      </w:pPr>
      <w:r>
        <w:rPr>
          <w:rFonts w:hint="eastAsia" w:ascii="黑体" w:hAnsi="黑体" w:eastAsia="黑体" w:cs="黑体"/>
          <w:sz w:val="24"/>
          <w:szCs w:val="24"/>
        </w:rPr>
        <w:t xml:space="preserve"> </w:t>
      </w:r>
    </w:p>
    <w:p>
      <w:pPr>
        <w:pStyle w:val="11"/>
        <w:numPr>
          <w:ilvl w:val="0"/>
          <w:numId w:val="1"/>
        </w:numPr>
        <w:spacing w:line="240" w:lineRule="auto"/>
        <w:ind w:firstLineChars="0"/>
        <w:jc w:val="both"/>
        <w:rPr>
          <w:rFonts w:hint="eastAsia" w:ascii="黑体" w:hAnsi="黑体" w:eastAsia="黑体" w:cs="黑体"/>
          <w:b/>
          <w:sz w:val="24"/>
          <w:szCs w:val="24"/>
        </w:rPr>
      </w:pPr>
      <w:bookmarkStart w:id="4" w:name="_Toc321043685"/>
      <w:bookmarkStart w:id="5" w:name="_Toc240693226"/>
      <w:r>
        <w:rPr>
          <w:rFonts w:hint="eastAsia" w:ascii="黑体" w:hAnsi="黑体" w:eastAsia="黑体" w:cs="黑体"/>
          <w:b/>
          <w:sz w:val="24"/>
          <w:szCs w:val="24"/>
        </w:rPr>
        <w:t>知识产权的占有与使用</w:t>
      </w:r>
      <w:bookmarkEnd w:id="4"/>
      <w:bookmarkEnd w:id="5"/>
    </w:p>
    <w:p>
      <w:pPr>
        <w:pStyle w:val="11"/>
        <w:spacing w:line="240" w:lineRule="auto"/>
        <w:ind w:left="900" w:firstLine="0" w:firstLineChars="0"/>
        <w:jc w:val="both"/>
        <w:rPr>
          <w:rFonts w:hint="eastAsia" w:ascii="黑体" w:hAnsi="黑体" w:eastAsia="黑体" w:cs="黑体"/>
          <w:b/>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和标的公司共同承诺并保证，除本协议另有规定之外，本协议签订之时及本协议签订之后，标的公司是公司名称、品牌、商标和专利、商品名称及品牌、网站名称、域名、专有技术、各种经营许可证等相关知识产权、许可权的唯一的、合法的所有权人。上述知识产权均经过必要的相关政府部门的批准或备案，且所有为保护该等知识产权而采取的合法措施均经过政府部门批准或备案，并保证按时缴纳相关费用，保证其权利的持续有效性。</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管理层股东及其他股东和标的公司共同承诺并保证，本协议签订之时及本协议签订之后，任何合法进行的、与公司及其产品相关的技术和市场推广均须经过标的公司的许可和/或授权。</w:t>
      </w:r>
    </w:p>
    <w:p>
      <w:pPr>
        <w:adjustRightInd w:val="0"/>
        <w:snapToGrid w:val="0"/>
        <w:spacing w:line="240" w:lineRule="auto"/>
        <w:ind w:left="480" w:hanging="480" w:hanging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bookmarkStart w:id="6" w:name="_Toc240693229"/>
      <w:bookmarkStart w:id="7" w:name="_Toc321043688"/>
      <w:r>
        <w:rPr>
          <w:rFonts w:hint="eastAsia" w:ascii="黑体" w:hAnsi="黑体" w:eastAsia="黑体" w:cs="黑体"/>
          <w:b/>
          <w:sz w:val="24"/>
          <w:szCs w:val="24"/>
        </w:rPr>
        <w:t>关联交易和同业竞争</w:t>
      </w:r>
      <w:bookmarkEnd w:id="6"/>
      <w:bookmarkEnd w:id="7"/>
    </w:p>
    <w:p>
      <w:pPr>
        <w:pStyle w:val="11"/>
        <w:spacing w:line="240" w:lineRule="auto"/>
        <w:ind w:left="900" w:firstLine="0" w:firstLineChars="0"/>
        <w:jc w:val="both"/>
        <w:rPr>
          <w:rFonts w:hint="eastAsia" w:ascii="黑体" w:hAnsi="黑体" w:eastAsia="黑体" w:cs="黑体"/>
          <w:b/>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及公司确认，截至本协议签署之日，标的公司应逐渐减少直至完全消除关联交易，确需发生的关联交易应由相关方依据市场价格，按照公平、公允的原则签署相关协议，以明确权利义务，并按照公司章程和相关制度规定履行内部决策程序。</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各股东承诺，不无偿占有、使用公司财产。任何一方无偿占有、使用公司财产的，由无偿使用的股东按市场公允价（自实际占有、使用公司财产之日起至停止占有、使用之日止）的120%支付使用对价给公司。</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各股东承诺，在持股期间不发生损害公司利益的关联交易行为，如发生上述行为应负责赔偿对公司造成的损害。</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管理层股东及其他股东和公司承诺，为实现首次公开发行股票及上市，标的公司及关联方目前没有，并且保证未来不会以任何形式从事或参与与标的公司主营业务构成直接或间接竞争关系的业务或活动。</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 xml:space="preserve">各方将尽审慎之责，及时制止标的公司股东、董事、经理及其他高级管理人员违反《公司法》及公司章程的同业竞争、竞业禁止、关联交易行为，并将上述情形及时通知其他各方。对于符合公司章程并经公司权力机构决议通过的关联交易，公司应及时将定价及定价依据通知各方；涉及关联交易的表决须严格按照《公司法》及公司章程关于关联股东和关联董事回避制度相关规定执行。 </w:t>
      </w:r>
    </w:p>
    <w:p>
      <w:pPr>
        <w:tabs>
          <w:tab w:val="left" w:pos="720"/>
        </w:tabs>
        <w:adjustRightInd w:val="0"/>
        <w:snapToGrid w:val="0"/>
        <w:spacing w:line="240" w:lineRule="auto"/>
        <w:ind w:left="45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bookmarkStart w:id="8" w:name="_Toc240693230"/>
      <w:bookmarkStart w:id="9" w:name="_Toc321043689"/>
      <w:r>
        <w:rPr>
          <w:rFonts w:hint="eastAsia" w:ascii="黑体" w:hAnsi="黑体" w:eastAsia="黑体" w:cs="黑体"/>
          <w:b/>
          <w:sz w:val="24"/>
          <w:szCs w:val="24"/>
        </w:rPr>
        <w:t>首次公开发行股票并上市</w:t>
      </w:r>
      <w:bookmarkEnd w:id="8"/>
      <w:bookmarkEnd w:id="9"/>
    </w:p>
    <w:p>
      <w:pPr>
        <w:pStyle w:val="11"/>
        <w:spacing w:line="240" w:lineRule="auto"/>
        <w:ind w:left="900" w:firstLine="0" w:firstLineChars="0"/>
        <w:jc w:val="both"/>
        <w:rPr>
          <w:rFonts w:hint="eastAsia" w:ascii="黑体" w:hAnsi="黑体" w:eastAsia="黑体" w:cs="黑体"/>
          <w:b/>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各方同意，以尽最大努力实现目标公司于【】年</w:t>
      </w:r>
      <w:r>
        <w:rPr>
          <w:rFonts w:hint="eastAsia" w:ascii="黑体" w:hAnsi="黑体" w:eastAsia="黑体" w:cs="黑体"/>
          <w:kern w:val="0"/>
          <w:sz w:val="24"/>
          <w:szCs w:val="24"/>
        </w:rPr>
        <w:t>【】</w:t>
      </w:r>
      <w:r>
        <w:rPr>
          <w:rFonts w:hint="eastAsia" w:ascii="黑体" w:hAnsi="黑体" w:eastAsia="黑体" w:cs="黑体"/>
          <w:sz w:val="24"/>
          <w:szCs w:val="24"/>
        </w:rPr>
        <w:t>月</w:t>
      </w:r>
      <w:r>
        <w:rPr>
          <w:rFonts w:hint="eastAsia" w:ascii="黑体" w:hAnsi="黑体" w:eastAsia="黑体" w:cs="黑体"/>
          <w:kern w:val="0"/>
          <w:sz w:val="24"/>
          <w:szCs w:val="24"/>
        </w:rPr>
        <w:t>【】</w:t>
      </w:r>
      <w:r>
        <w:rPr>
          <w:rFonts w:hint="eastAsia" w:ascii="黑体" w:hAnsi="黑体" w:eastAsia="黑体" w:cs="黑体"/>
          <w:sz w:val="24"/>
          <w:szCs w:val="24"/>
        </w:rPr>
        <w:t>日前完成首次公开发行股票并上市为一致目标。</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和标的公司同意在投资完成后，将逐步按照上市的相关法律、法规以及规范性文件的要求，对公司、子公司和有关各方在历史沿革、税务、劳动、资产、关联交易、独立性等各方面的合规性进行完善，以便保证公司在</w:t>
      </w:r>
      <w:r>
        <w:rPr>
          <w:rFonts w:hint="eastAsia" w:ascii="黑体" w:hAnsi="黑体" w:eastAsia="黑体" w:cs="黑体"/>
          <w:kern w:val="0"/>
          <w:sz w:val="24"/>
          <w:szCs w:val="24"/>
        </w:rPr>
        <w:t>【】</w:t>
      </w:r>
      <w:r>
        <w:rPr>
          <w:rFonts w:hint="eastAsia" w:ascii="黑体" w:hAnsi="黑体" w:eastAsia="黑体" w:cs="黑体"/>
          <w:sz w:val="24"/>
          <w:szCs w:val="24"/>
        </w:rPr>
        <w:t>年</w:t>
      </w:r>
      <w:r>
        <w:rPr>
          <w:rFonts w:hint="eastAsia" w:ascii="黑体" w:hAnsi="黑体" w:eastAsia="黑体" w:cs="黑体"/>
          <w:kern w:val="0"/>
          <w:sz w:val="24"/>
          <w:szCs w:val="24"/>
        </w:rPr>
        <w:t>【】</w:t>
      </w:r>
      <w:r>
        <w:rPr>
          <w:rFonts w:hint="eastAsia" w:ascii="黑体" w:hAnsi="黑体" w:eastAsia="黑体" w:cs="黑体"/>
          <w:sz w:val="24"/>
          <w:szCs w:val="24"/>
        </w:rPr>
        <w:t>月</w:t>
      </w:r>
      <w:r>
        <w:rPr>
          <w:rFonts w:hint="eastAsia" w:ascii="黑体" w:hAnsi="黑体" w:eastAsia="黑体" w:cs="黑体"/>
          <w:kern w:val="0"/>
          <w:sz w:val="24"/>
          <w:szCs w:val="24"/>
        </w:rPr>
        <w:t>【】</w:t>
      </w:r>
      <w:r>
        <w:rPr>
          <w:rFonts w:hint="eastAsia" w:ascii="黑体" w:hAnsi="黑体" w:eastAsia="黑体" w:cs="黑体"/>
          <w:sz w:val="24"/>
          <w:szCs w:val="24"/>
        </w:rPr>
        <w:t>日前实现首次公开发行，由此产生的所有费用原则上应由相关各方独立承担，但如果上述费用的产生系由于管理层股东及其他股东或标的公司在尽职调查中未披露事项相关或因违反本协议之原因所造成，则应由管理层股东及其他股东承担全部该等相关费用。</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管理层股东及其他股东和标的公司在此确认，充分了解公司上市所需付出的时间、财务等方面的成本，并同意将积极配合投资方的要求实现该等上市目标。</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保密</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各方对于因签署和履行本协议而获得的包括但不限于本协议的各项条款、有关本协议的谈判及本协议任何一方的商业秘密和经营机密等保密信息，应当严格保密，任何一方未经对方同意，不得向第三方披露（第14.2约定的情形除外），且不使各方中无需知晓本协议内容的人士获知上述保密信息。</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任何一方在下述情形下可披露保密信息：</w:t>
      </w:r>
    </w:p>
    <w:p>
      <w:pPr>
        <w:pStyle w:val="11"/>
        <w:numPr>
          <w:ilvl w:val="0"/>
          <w:numId w:val="6"/>
        </w:numPr>
        <w:spacing w:line="240" w:lineRule="auto"/>
        <w:ind w:firstLineChars="0"/>
        <w:jc w:val="both"/>
        <w:rPr>
          <w:rFonts w:hint="eastAsia" w:ascii="黑体" w:hAnsi="黑体" w:eastAsia="黑体" w:cs="黑体"/>
          <w:vanish/>
          <w:sz w:val="24"/>
          <w:szCs w:val="24"/>
        </w:rPr>
      </w:pPr>
    </w:p>
    <w:p>
      <w:pPr>
        <w:pStyle w:val="11"/>
        <w:numPr>
          <w:ilvl w:val="1"/>
          <w:numId w:val="6"/>
        </w:numPr>
        <w:spacing w:line="240" w:lineRule="auto"/>
        <w:ind w:firstLineChars="0"/>
        <w:jc w:val="both"/>
        <w:rPr>
          <w:rFonts w:hint="eastAsia" w:ascii="黑体" w:hAnsi="黑体" w:eastAsia="黑体" w:cs="黑体"/>
          <w:vanish/>
          <w:sz w:val="24"/>
          <w:szCs w:val="24"/>
        </w:rPr>
      </w:pPr>
    </w:p>
    <w:p>
      <w:pPr>
        <w:pStyle w:val="11"/>
        <w:numPr>
          <w:ilvl w:val="1"/>
          <w:numId w:val="6"/>
        </w:numPr>
        <w:spacing w:line="240" w:lineRule="auto"/>
        <w:ind w:firstLineChars="0"/>
        <w:jc w:val="both"/>
        <w:rPr>
          <w:rFonts w:hint="eastAsia" w:ascii="黑体" w:hAnsi="黑体" w:eastAsia="黑体" w:cs="黑体"/>
          <w:vanish/>
          <w:sz w:val="24"/>
          <w:szCs w:val="24"/>
        </w:rPr>
      </w:pPr>
    </w:p>
    <w:p>
      <w:pPr>
        <w:pStyle w:val="11"/>
        <w:numPr>
          <w:ilvl w:val="2"/>
          <w:numId w:val="10"/>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如该等披露是由于法律、行政法规有此要求；</w:t>
      </w:r>
    </w:p>
    <w:p>
      <w:pPr>
        <w:pStyle w:val="11"/>
        <w:numPr>
          <w:ilvl w:val="2"/>
          <w:numId w:val="10"/>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如该等披露是由于有关司法机关、政府机构监管有此要求；</w:t>
      </w:r>
    </w:p>
    <w:p>
      <w:pPr>
        <w:pStyle w:val="11"/>
        <w:numPr>
          <w:ilvl w:val="2"/>
          <w:numId w:val="10"/>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如在其获得或收到保密信息之前，相关保密信息已为公众所知；</w:t>
      </w:r>
    </w:p>
    <w:p>
      <w:pPr>
        <w:pStyle w:val="11"/>
        <w:numPr>
          <w:ilvl w:val="2"/>
          <w:numId w:val="10"/>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如果就披露事宜其他方已事先发出书面同意。</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本协议解除后，第14条仍然有效，不受时间限制。</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协议的变更、解除及终止</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出现下列情形之一的，协议任何一方可书面通知其他合同签订方解除本协议，并列明解除所依据的条款：</w:t>
      </w:r>
    </w:p>
    <w:p>
      <w:pPr>
        <w:pStyle w:val="11"/>
        <w:numPr>
          <w:ilvl w:val="2"/>
          <w:numId w:val="11"/>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因不可抗力致使合同目的无法实现；</w:t>
      </w:r>
    </w:p>
    <w:p>
      <w:pPr>
        <w:pStyle w:val="11"/>
        <w:numPr>
          <w:ilvl w:val="2"/>
          <w:numId w:val="11"/>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根据本协议约定出现的其他解除情形。</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出现下列情形之一的，本协议终止：</w:t>
      </w:r>
    </w:p>
    <w:p>
      <w:pPr>
        <w:pStyle w:val="11"/>
        <w:numPr>
          <w:ilvl w:val="2"/>
          <w:numId w:val="12"/>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本协议项下义务已经按约定履行完毕；</w:t>
      </w:r>
    </w:p>
    <w:p>
      <w:pPr>
        <w:pStyle w:val="11"/>
        <w:numPr>
          <w:ilvl w:val="2"/>
          <w:numId w:val="12"/>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本协议解除；</w:t>
      </w:r>
    </w:p>
    <w:p>
      <w:pPr>
        <w:pStyle w:val="11"/>
        <w:numPr>
          <w:ilvl w:val="2"/>
          <w:numId w:val="12"/>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本协议约定的其他情形。</w:t>
      </w:r>
    </w:p>
    <w:p>
      <w:pPr>
        <w:pStyle w:val="11"/>
        <w:spacing w:line="240" w:lineRule="auto"/>
        <w:ind w:left="992" w:firstLine="0" w:firstLineChars="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违约责任及赔偿</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任何一方违反本协议的约定应对因其违约而给对方造成的损失承担全部赔偿责任。原股东对标的公司违反本协议约定的行为承担无限连带责任。</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任何一方因违反本协议的规定而应承担的违约责任不因本协议的解除而解除。</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法律适用和争议解决</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本协议适用中国法律。各方一致同意任何与有效条款有关的或由此产生的争论，分歧或诉求将提交【】仲裁委员会仲裁。并根据其当时有效的规则仲裁解决。该仲裁庭的任何裁决应当是终局的、有约束力的裁决。</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仲裁进行期间，除争议事项或义务外，各方均应继续履行本协议规定的其他各项义务。</w:t>
      </w:r>
    </w:p>
    <w:p>
      <w:pPr>
        <w:spacing w:line="240" w:lineRule="auto"/>
        <w:ind w:firstLine="480" w:firstLineChars="200"/>
        <w:jc w:val="both"/>
        <w:rPr>
          <w:rFonts w:hint="eastAsia" w:ascii="黑体" w:hAnsi="黑体" w:eastAsia="黑体" w:cs="黑体"/>
          <w:sz w:val="24"/>
          <w:szCs w:val="24"/>
        </w:rPr>
      </w:pPr>
    </w:p>
    <w:p>
      <w:pPr>
        <w:pStyle w:val="11"/>
        <w:numPr>
          <w:ilvl w:val="0"/>
          <w:numId w:val="1"/>
        </w:numPr>
        <w:spacing w:line="240" w:lineRule="auto"/>
        <w:ind w:firstLineChars="0"/>
        <w:jc w:val="both"/>
        <w:rPr>
          <w:rFonts w:hint="eastAsia" w:ascii="黑体" w:hAnsi="黑体" w:eastAsia="黑体" w:cs="黑体"/>
          <w:b/>
          <w:sz w:val="24"/>
          <w:szCs w:val="24"/>
        </w:rPr>
      </w:pPr>
      <w:r>
        <w:rPr>
          <w:rFonts w:hint="eastAsia" w:ascii="黑体" w:hAnsi="黑体" w:eastAsia="黑体" w:cs="黑体"/>
          <w:b/>
          <w:sz w:val="24"/>
          <w:szCs w:val="24"/>
        </w:rPr>
        <w:t>附则</w:t>
      </w:r>
    </w:p>
    <w:p>
      <w:pPr>
        <w:spacing w:line="240" w:lineRule="auto"/>
        <w:ind w:firstLine="480" w:firstLineChars="200"/>
        <w:jc w:val="both"/>
        <w:rPr>
          <w:rFonts w:hint="eastAsia" w:ascii="黑体" w:hAnsi="黑体" w:eastAsia="黑体" w:cs="黑体"/>
          <w:sz w:val="24"/>
          <w:szCs w:val="24"/>
        </w:rPr>
      </w:pPr>
    </w:p>
    <w:p>
      <w:pPr>
        <w:pStyle w:val="11"/>
        <w:numPr>
          <w:ilvl w:val="0"/>
          <w:numId w:val="4"/>
        </w:numPr>
        <w:spacing w:line="240" w:lineRule="auto"/>
        <w:ind w:firstLineChars="0"/>
        <w:jc w:val="both"/>
        <w:rPr>
          <w:rFonts w:hint="eastAsia" w:ascii="黑体" w:hAnsi="黑体" w:eastAsia="黑体" w:cs="黑体"/>
          <w:vanish/>
          <w:sz w:val="24"/>
          <w:szCs w:val="24"/>
        </w:rPr>
      </w:pP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根据中国法律，如果本协议任何条款被仲裁机构裁决为无效，本协议其它条款的效力不受任何影响。</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本协议的任何修改需经各方一致同意并签署书面文件后方可生效；任何修改和补充为本协议不可分割的组成部分。</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任何一方未能或延迟行使和/或享受其根据本协议享有的权利和/或利益，不应视为对该等权利和/或利益的放弃，且对该等权利和/或利益的部分行使不应妨碍未来对此等权利和/或利益的行使。</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本协议赋予各方的权利或补救措施并不排除各方依照中国法律所享有的其它权利和补救措施，亦不排除于本协议生效日后颁布的中国法律或者其他具有法律效力的文件所赋予的其它各项权利和补救措施。</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本协议以中文书就。正本一式陆（6）份，投资方、标的公司各持贰（2）份，原股东每人壹（1）份。每份正本均具有同等法律效力。</w:t>
      </w:r>
    </w:p>
    <w:p>
      <w:pPr>
        <w:pStyle w:val="11"/>
        <w:numPr>
          <w:ilvl w:val="1"/>
          <w:numId w:val="4"/>
        </w:numPr>
        <w:spacing w:line="240" w:lineRule="auto"/>
        <w:ind w:firstLineChars="0"/>
        <w:jc w:val="both"/>
        <w:rPr>
          <w:rFonts w:hint="eastAsia" w:ascii="黑体" w:hAnsi="黑体" w:eastAsia="黑体" w:cs="黑体"/>
          <w:sz w:val="24"/>
          <w:szCs w:val="24"/>
        </w:rPr>
      </w:pPr>
      <w:r>
        <w:rPr>
          <w:rFonts w:hint="eastAsia" w:ascii="黑体" w:hAnsi="黑体" w:eastAsia="黑体" w:cs="黑体"/>
          <w:sz w:val="24"/>
          <w:szCs w:val="24"/>
        </w:rPr>
        <w:t>本协议由投资方、标的公司法定代表人或授权代表签字及加盖公章，原股东签字后生效。</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(本页以下无正文)</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 xml:space="preserve"> </w:t>
      </w:r>
    </w:p>
    <w:p>
      <w:pPr>
        <w:widowControl/>
        <w:spacing w:line="240" w:lineRule="auto"/>
        <w:jc w:val="both"/>
        <w:rPr>
          <w:rFonts w:hint="eastAsia" w:ascii="黑体" w:hAnsi="黑体" w:eastAsia="黑体" w:cs="黑体"/>
          <w:sz w:val="24"/>
          <w:szCs w:val="24"/>
        </w:rPr>
      </w:pPr>
      <w:r>
        <w:rPr>
          <w:rFonts w:hint="eastAsia" w:ascii="黑体" w:hAnsi="黑体" w:eastAsia="黑体" w:cs="黑体"/>
          <w:sz w:val="24"/>
          <w:szCs w:val="24"/>
        </w:rPr>
        <w:br w:type="page"/>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（此页无正文，为《增资扩股协议》之签署页）</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【】股份公司 （公章）</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法定代表人或授权代表（签字）：</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原股东：xx  （签字）</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 xml:space="preserve">        XXX （签字）</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【】（有限合伙）（公章）</w:t>
      </w:r>
    </w:p>
    <w:p>
      <w:pPr>
        <w:spacing w:line="240" w:lineRule="auto"/>
        <w:ind w:firstLine="480" w:firstLineChars="200"/>
        <w:jc w:val="both"/>
        <w:rPr>
          <w:rFonts w:hint="eastAsia" w:ascii="黑体" w:hAnsi="黑体" w:eastAsia="黑体" w:cs="黑体"/>
          <w:sz w:val="24"/>
          <w:szCs w:val="24"/>
        </w:rPr>
      </w:pP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代表人（授权代表）：</w:t>
      </w:r>
    </w:p>
    <w:p>
      <w:pPr>
        <w:spacing w:line="240" w:lineRule="auto"/>
        <w:ind w:firstLine="480" w:firstLineChars="200"/>
        <w:jc w:val="both"/>
        <w:rPr>
          <w:rFonts w:hint="eastAsia" w:ascii="黑体" w:hAnsi="黑体" w:eastAsia="黑体" w:cs="黑体"/>
          <w:sz w:val="24"/>
          <w:szCs w:val="24"/>
        </w:rPr>
      </w:pPr>
      <w:r>
        <w:rPr>
          <w:rFonts w:hint="eastAsia" w:ascii="黑体" w:hAnsi="黑体" w:eastAsia="黑体" w:cs="黑体"/>
          <w:sz w:val="24"/>
          <w:szCs w:val="24"/>
        </w:rPr>
        <w:t>（签字）</w:t>
      </w:r>
    </w:p>
    <w:p>
      <w:pPr>
        <w:spacing w:line="240" w:lineRule="auto"/>
        <w:jc w:val="both"/>
        <w:rPr>
          <w:rFonts w:hint="eastAsia" w:ascii="黑体" w:hAnsi="黑体" w:eastAsia="黑体" w:cs="黑体"/>
          <w:sz w:val="24"/>
          <w:szCs w:val="24"/>
        </w:rPr>
      </w:pPr>
    </w:p>
    <w:p>
      <w:pPr>
        <w:spacing w:line="240" w:lineRule="auto"/>
        <w:jc w:val="both"/>
        <w:rPr>
          <w:rFonts w:hint="eastAsia" w:ascii="黑体" w:hAnsi="黑体" w:eastAsia="黑体" w:cs="黑体"/>
          <w:sz w:val="24"/>
          <w:szCs w:val="24"/>
        </w:rPr>
      </w:pPr>
    </w:p>
    <w:p>
      <w:pPr>
        <w:spacing w:line="240" w:lineRule="auto"/>
        <w:jc w:val="center"/>
        <w:rPr>
          <w:rFonts w:hint="eastAsia" w:ascii="黑体" w:hAnsi="黑体" w:eastAsia="黑体" w:cs="黑体"/>
          <w:sz w:val="24"/>
          <w:szCs w:val="24"/>
          <w:lang w:eastAsia="zh-CN"/>
        </w:rPr>
      </w:pPr>
      <w:bookmarkStart w:id="10" w:name="_GoBack"/>
      <w:r>
        <w:rPr>
          <w:rFonts w:hint="eastAsia" w:ascii="黑体" w:hAnsi="黑体" w:eastAsia="黑体" w:cs="黑体"/>
          <w:sz w:val="24"/>
          <w:szCs w:val="24"/>
          <w:lang w:eastAsia="zh-CN"/>
        </w:rPr>
        <w:drawing>
          <wp:inline distT="0" distB="0" distL="114300" distR="114300">
            <wp:extent cx="4552315" cy="4552315"/>
            <wp:effectExtent l="0" t="0" r="635" b="635"/>
            <wp:docPr id="4" name="图片 4" descr="航罗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航罗微信二维码"/>
                    <pic:cNvPicPr>
                      <a:picLocks noChangeAspect="1"/>
                    </pic:cNvPicPr>
                  </pic:nvPicPr>
                  <pic:blipFill>
                    <a:blip r:embed="rId6"/>
                    <a:stretch>
                      <a:fillRect/>
                    </a:stretch>
                  </pic:blipFill>
                  <pic:spPr>
                    <a:xfrm>
                      <a:off x="0" y="0"/>
                      <a:ext cx="4552315" cy="4552315"/>
                    </a:xfrm>
                    <a:prstGeom prst="rect">
                      <a:avLst/>
                    </a:prstGeom>
                  </pic:spPr>
                </pic:pic>
              </a:graphicData>
            </a:graphic>
          </wp:inline>
        </w:drawing>
      </w:r>
      <w:bookmarkEnd w:id="1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1414145" cy="520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4420" cy="520549"/>
                  </a:xfrm>
                  <a:prstGeom prst="rect">
                    <a:avLst/>
                  </a:prstGeom>
                </pic:spPr>
              </pic:pic>
            </a:graphicData>
          </a:graphic>
        </wp:inline>
      </w:drawing>
    </w:r>
    <w:r>
      <w:drawing>
        <wp:inline distT="0" distB="0" distL="0" distR="0">
          <wp:extent cx="3476625" cy="5213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485284" cy="5232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29C"/>
    <w:multiLevelType w:val="multilevel"/>
    <w:tmpl w:val="091E629C"/>
    <w:lvl w:ilvl="0" w:tentative="0">
      <w:start w:val="1"/>
      <w:numFmt w:val="decimal"/>
      <w:lvlText w:val="%1)"/>
      <w:lvlJc w:val="left"/>
      <w:pPr>
        <w:ind w:left="1418" w:hanging="425"/>
      </w:pPr>
    </w:lvl>
    <w:lvl w:ilvl="1" w:tentative="0">
      <w:start w:val="1"/>
      <w:numFmt w:val="decimal"/>
      <w:lvlText w:val="%1.%2"/>
      <w:lvlJc w:val="left"/>
      <w:pPr>
        <w:ind w:left="1985" w:hanging="567"/>
      </w:pPr>
    </w:lvl>
    <w:lvl w:ilvl="2" w:tentative="0">
      <w:start w:val="1"/>
      <w:numFmt w:val="decimal"/>
      <w:lvlText w:val="%1.%2.%3"/>
      <w:lvlJc w:val="left"/>
      <w:pPr>
        <w:ind w:left="2411" w:hanging="567"/>
      </w:pPr>
    </w:lvl>
    <w:lvl w:ilvl="3" w:tentative="0">
      <w:start w:val="1"/>
      <w:numFmt w:val="decimal"/>
      <w:lvlText w:val="%1.%2.%3.%4"/>
      <w:lvlJc w:val="left"/>
      <w:pPr>
        <w:ind w:left="2977" w:hanging="708"/>
      </w:pPr>
    </w:lvl>
    <w:lvl w:ilvl="4" w:tentative="0">
      <w:start w:val="1"/>
      <w:numFmt w:val="decimal"/>
      <w:lvlText w:val="%1.%2.%3.%4.%5"/>
      <w:lvlJc w:val="left"/>
      <w:pPr>
        <w:ind w:left="3544" w:hanging="850"/>
      </w:pPr>
    </w:lvl>
    <w:lvl w:ilvl="5" w:tentative="0">
      <w:start w:val="1"/>
      <w:numFmt w:val="decimal"/>
      <w:lvlText w:val="%1.%2.%3.%4.%5.%6"/>
      <w:lvlJc w:val="left"/>
      <w:pPr>
        <w:ind w:left="4253" w:hanging="1134"/>
      </w:pPr>
    </w:lvl>
    <w:lvl w:ilvl="6" w:tentative="0">
      <w:start w:val="1"/>
      <w:numFmt w:val="decimal"/>
      <w:lvlText w:val="%1.%2.%3.%4.%5.%6.%7"/>
      <w:lvlJc w:val="left"/>
      <w:pPr>
        <w:ind w:left="4820" w:hanging="1276"/>
      </w:pPr>
    </w:lvl>
    <w:lvl w:ilvl="7" w:tentative="0">
      <w:start w:val="1"/>
      <w:numFmt w:val="decimal"/>
      <w:lvlText w:val="%1.%2.%3.%4.%5.%6.%7.%8"/>
      <w:lvlJc w:val="left"/>
      <w:pPr>
        <w:ind w:left="5387" w:hanging="1418"/>
      </w:pPr>
    </w:lvl>
    <w:lvl w:ilvl="8" w:tentative="0">
      <w:start w:val="1"/>
      <w:numFmt w:val="decimal"/>
      <w:lvlText w:val="%1.%2.%3.%4.%5.%6.%7.%8.%9"/>
      <w:lvlJc w:val="left"/>
      <w:pPr>
        <w:ind w:left="6095" w:hanging="1700"/>
      </w:pPr>
    </w:lvl>
  </w:abstractNum>
  <w:abstractNum w:abstractNumId="1">
    <w:nsid w:val="09663474"/>
    <w:multiLevelType w:val="multilevel"/>
    <w:tmpl w:val="0966347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5A74E56"/>
    <w:multiLevelType w:val="multilevel"/>
    <w:tmpl w:val="15A74E5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6DB1161"/>
    <w:multiLevelType w:val="multilevel"/>
    <w:tmpl w:val="16DB1161"/>
    <w:lvl w:ilvl="0" w:tentative="0">
      <w:start w:val="1"/>
      <w:numFmt w:val="decimal"/>
      <w:lvlText w:val="%1"/>
      <w:lvlJc w:val="left"/>
      <w:pPr>
        <w:ind w:left="709"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20B44B67"/>
    <w:multiLevelType w:val="multilevel"/>
    <w:tmpl w:val="20B44B67"/>
    <w:lvl w:ilvl="0" w:tentative="0">
      <w:start w:val="1"/>
      <w:numFmt w:val="japaneseCounting"/>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8F44DE8"/>
    <w:multiLevelType w:val="multilevel"/>
    <w:tmpl w:val="28F44DE8"/>
    <w:lvl w:ilvl="0" w:tentative="0">
      <w:start w:val="1"/>
      <w:numFmt w:val="decimal"/>
      <w:lvlText w:val="%1)"/>
      <w:lvlJc w:val="left"/>
      <w:pPr>
        <w:ind w:left="1418" w:hanging="425"/>
      </w:pPr>
    </w:lvl>
    <w:lvl w:ilvl="1" w:tentative="0">
      <w:start w:val="1"/>
      <w:numFmt w:val="decimal"/>
      <w:lvlText w:val="%1.%2"/>
      <w:lvlJc w:val="left"/>
      <w:pPr>
        <w:ind w:left="1985" w:hanging="567"/>
      </w:pPr>
    </w:lvl>
    <w:lvl w:ilvl="2" w:tentative="0">
      <w:start w:val="1"/>
      <w:numFmt w:val="decimal"/>
      <w:lvlText w:val="%1.%2.%3"/>
      <w:lvlJc w:val="left"/>
      <w:pPr>
        <w:ind w:left="2411" w:hanging="567"/>
      </w:pPr>
    </w:lvl>
    <w:lvl w:ilvl="3" w:tentative="0">
      <w:start w:val="1"/>
      <w:numFmt w:val="decimal"/>
      <w:lvlText w:val="%1.%2.%3.%4"/>
      <w:lvlJc w:val="left"/>
      <w:pPr>
        <w:ind w:left="2977" w:hanging="708"/>
      </w:pPr>
    </w:lvl>
    <w:lvl w:ilvl="4" w:tentative="0">
      <w:start w:val="1"/>
      <w:numFmt w:val="decimal"/>
      <w:lvlText w:val="%1.%2.%3.%4.%5"/>
      <w:lvlJc w:val="left"/>
      <w:pPr>
        <w:ind w:left="3544" w:hanging="850"/>
      </w:pPr>
    </w:lvl>
    <w:lvl w:ilvl="5" w:tentative="0">
      <w:start w:val="1"/>
      <w:numFmt w:val="decimal"/>
      <w:lvlText w:val="%1.%2.%3.%4.%5.%6"/>
      <w:lvlJc w:val="left"/>
      <w:pPr>
        <w:ind w:left="4253" w:hanging="1134"/>
      </w:pPr>
    </w:lvl>
    <w:lvl w:ilvl="6" w:tentative="0">
      <w:start w:val="1"/>
      <w:numFmt w:val="decimal"/>
      <w:lvlText w:val="%1.%2.%3.%4.%5.%6.%7"/>
      <w:lvlJc w:val="left"/>
      <w:pPr>
        <w:ind w:left="4820" w:hanging="1276"/>
      </w:pPr>
    </w:lvl>
    <w:lvl w:ilvl="7" w:tentative="0">
      <w:start w:val="1"/>
      <w:numFmt w:val="decimal"/>
      <w:lvlText w:val="%1.%2.%3.%4.%5.%6.%7.%8"/>
      <w:lvlJc w:val="left"/>
      <w:pPr>
        <w:ind w:left="5387" w:hanging="1418"/>
      </w:pPr>
    </w:lvl>
    <w:lvl w:ilvl="8" w:tentative="0">
      <w:start w:val="1"/>
      <w:numFmt w:val="decimal"/>
      <w:lvlText w:val="%1.%2.%3.%4.%5.%6.%7.%8.%9"/>
      <w:lvlJc w:val="left"/>
      <w:pPr>
        <w:ind w:left="6095" w:hanging="1700"/>
      </w:pPr>
    </w:lvl>
  </w:abstractNum>
  <w:abstractNum w:abstractNumId="6">
    <w:nsid w:val="458F5324"/>
    <w:multiLevelType w:val="multilevel"/>
    <w:tmpl w:val="458F53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53B2212D"/>
    <w:multiLevelType w:val="multilevel"/>
    <w:tmpl w:val="53B2212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33C3718"/>
    <w:multiLevelType w:val="multilevel"/>
    <w:tmpl w:val="633C371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6C7C3143"/>
    <w:multiLevelType w:val="multilevel"/>
    <w:tmpl w:val="6C7C314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734146F7"/>
    <w:multiLevelType w:val="multilevel"/>
    <w:tmpl w:val="734146F7"/>
    <w:lvl w:ilvl="0" w:tentative="0">
      <w:start w:val="1"/>
      <w:numFmt w:val="decimal"/>
      <w:lvlText w:val="%1)"/>
      <w:lvlJc w:val="left"/>
      <w:pPr>
        <w:ind w:left="1418" w:hanging="425"/>
      </w:pPr>
    </w:lvl>
    <w:lvl w:ilvl="1" w:tentative="0">
      <w:start w:val="1"/>
      <w:numFmt w:val="decimal"/>
      <w:lvlText w:val="%1.%2"/>
      <w:lvlJc w:val="left"/>
      <w:pPr>
        <w:ind w:left="1985" w:hanging="567"/>
      </w:pPr>
    </w:lvl>
    <w:lvl w:ilvl="2" w:tentative="0">
      <w:start w:val="1"/>
      <w:numFmt w:val="decimal"/>
      <w:lvlText w:val="%1.%2.%3"/>
      <w:lvlJc w:val="left"/>
      <w:pPr>
        <w:ind w:left="2411" w:hanging="567"/>
      </w:pPr>
    </w:lvl>
    <w:lvl w:ilvl="3" w:tentative="0">
      <w:start w:val="1"/>
      <w:numFmt w:val="decimal"/>
      <w:lvlText w:val="%1.%2.%3.%4"/>
      <w:lvlJc w:val="left"/>
      <w:pPr>
        <w:ind w:left="2977" w:hanging="708"/>
      </w:pPr>
    </w:lvl>
    <w:lvl w:ilvl="4" w:tentative="0">
      <w:start w:val="1"/>
      <w:numFmt w:val="decimal"/>
      <w:lvlText w:val="%1.%2.%3.%4.%5"/>
      <w:lvlJc w:val="left"/>
      <w:pPr>
        <w:ind w:left="3544" w:hanging="850"/>
      </w:pPr>
    </w:lvl>
    <w:lvl w:ilvl="5" w:tentative="0">
      <w:start w:val="1"/>
      <w:numFmt w:val="decimal"/>
      <w:lvlText w:val="%1.%2.%3.%4.%5.%6"/>
      <w:lvlJc w:val="left"/>
      <w:pPr>
        <w:ind w:left="4253" w:hanging="1134"/>
      </w:pPr>
    </w:lvl>
    <w:lvl w:ilvl="6" w:tentative="0">
      <w:start w:val="1"/>
      <w:numFmt w:val="decimal"/>
      <w:lvlText w:val="%1.%2.%3.%4.%5.%6.%7"/>
      <w:lvlJc w:val="left"/>
      <w:pPr>
        <w:ind w:left="4820" w:hanging="1276"/>
      </w:pPr>
    </w:lvl>
    <w:lvl w:ilvl="7" w:tentative="0">
      <w:start w:val="1"/>
      <w:numFmt w:val="decimal"/>
      <w:lvlText w:val="%1.%2.%3.%4.%5.%6.%7.%8"/>
      <w:lvlJc w:val="left"/>
      <w:pPr>
        <w:ind w:left="5387" w:hanging="1418"/>
      </w:pPr>
    </w:lvl>
    <w:lvl w:ilvl="8" w:tentative="0">
      <w:start w:val="1"/>
      <w:numFmt w:val="decimal"/>
      <w:lvlText w:val="%1.%2.%3.%4.%5.%6.%7.%8.%9"/>
      <w:lvlJc w:val="left"/>
      <w:pPr>
        <w:ind w:left="6095" w:hanging="1700"/>
      </w:pPr>
    </w:lvl>
  </w:abstractNum>
  <w:abstractNum w:abstractNumId="11">
    <w:nsid w:val="79157FDB"/>
    <w:multiLevelType w:val="multilevel"/>
    <w:tmpl w:val="79157FDB"/>
    <w:lvl w:ilvl="0" w:tentative="0">
      <w:start w:val="1"/>
      <w:numFmt w:val="decimal"/>
      <w:lvlText w:val="%1)"/>
      <w:lvlJc w:val="left"/>
      <w:pPr>
        <w:ind w:left="1418" w:hanging="425"/>
      </w:pPr>
    </w:lvl>
    <w:lvl w:ilvl="1" w:tentative="0">
      <w:start w:val="1"/>
      <w:numFmt w:val="decimal"/>
      <w:lvlText w:val="%1.%2"/>
      <w:lvlJc w:val="left"/>
      <w:pPr>
        <w:ind w:left="1985" w:hanging="567"/>
      </w:pPr>
    </w:lvl>
    <w:lvl w:ilvl="2" w:tentative="0">
      <w:start w:val="1"/>
      <w:numFmt w:val="decimal"/>
      <w:lvlText w:val="%1.%2.%3"/>
      <w:lvlJc w:val="left"/>
      <w:pPr>
        <w:ind w:left="2411" w:hanging="567"/>
      </w:pPr>
    </w:lvl>
    <w:lvl w:ilvl="3" w:tentative="0">
      <w:start w:val="1"/>
      <w:numFmt w:val="decimal"/>
      <w:lvlText w:val="%1.%2.%3.%4"/>
      <w:lvlJc w:val="left"/>
      <w:pPr>
        <w:ind w:left="2977" w:hanging="708"/>
      </w:pPr>
    </w:lvl>
    <w:lvl w:ilvl="4" w:tentative="0">
      <w:start w:val="1"/>
      <w:numFmt w:val="decimal"/>
      <w:lvlText w:val="%1.%2.%3.%4.%5"/>
      <w:lvlJc w:val="left"/>
      <w:pPr>
        <w:ind w:left="3544" w:hanging="850"/>
      </w:pPr>
    </w:lvl>
    <w:lvl w:ilvl="5" w:tentative="0">
      <w:start w:val="1"/>
      <w:numFmt w:val="decimal"/>
      <w:lvlText w:val="%1.%2.%3.%4.%5.%6"/>
      <w:lvlJc w:val="left"/>
      <w:pPr>
        <w:ind w:left="4253" w:hanging="1134"/>
      </w:pPr>
    </w:lvl>
    <w:lvl w:ilvl="6" w:tentative="0">
      <w:start w:val="1"/>
      <w:numFmt w:val="decimal"/>
      <w:lvlText w:val="%1.%2.%3.%4.%5.%6.%7"/>
      <w:lvlJc w:val="left"/>
      <w:pPr>
        <w:ind w:left="4820" w:hanging="1276"/>
      </w:pPr>
    </w:lvl>
    <w:lvl w:ilvl="7" w:tentative="0">
      <w:start w:val="1"/>
      <w:numFmt w:val="decimal"/>
      <w:lvlText w:val="%1.%2.%3.%4.%5.%6.%7.%8"/>
      <w:lvlJc w:val="left"/>
      <w:pPr>
        <w:ind w:left="5387" w:hanging="1418"/>
      </w:pPr>
    </w:lvl>
    <w:lvl w:ilvl="8" w:tentative="0">
      <w:start w:val="1"/>
      <w:numFmt w:val="decimal"/>
      <w:lvlText w:val="%1.%2.%3.%4.%5.%6.%7.%8.%9"/>
      <w:lvlJc w:val="left"/>
      <w:pPr>
        <w:ind w:left="6095" w:hanging="1700"/>
      </w:pPr>
    </w:lvl>
  </w:abstractNum>
  <w:num w:numId="1">
    <w:abstractNumId w:val="4"/>
  </w:num>
  <w:num w:numId="2">
    <w:abstractNumId w:val="3"/>
  </w:num>
  <w:num w:numId="3">
    <w:abstractNumId w:val="2"/>
  </w:num>
  <w:num w:numId="4">
    <w:abstractNumId w:val="6"/>
  </w:num>
  <w:num w:numId="5">
    <w:abstractNumId w:val="0"/>
  </w:num>
  <w:num w:numId="6">
    <w:abstractNumId w:val="7"/>
  </w:num>
  <w:num w:numId="7">
    <w:abstractNumId w:val="10"/>
  </w:num>
  <w:num w:numId="8">
    <w:abstractNumId w:val="5"/>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52"/>
    <w:rsid w:val="00030742"/>
    <w:rsid w:val="0007359D"/>
    <w:rsid w:val="0037153A"/>
    <w:rsid w:val="00446D20"/>
    <w:rsid w:val="00690206"/>
    <w:rsid w:val="00691BB7"/>
    <w:rsid w:val="0081274A"/>
    <w:rsid w:val="008253CF"/>
    <w:rsid w:val="00856F1F"/>
    <w:rsid w:val="009011F8"/>
    <w:rsid w:val="009067E1"/>
    <w:rsid w:val="009318BB"/>
    <w:rsid w:val="00BC6185"/>
    <w:rsid w:val="00C37D52"/>
    <w:rsid w:val="00CA5FF0"/>
    <w:rsid w:val="261D2C99"/>
    <w:rsid w:val="6C22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Words>
  <Characters>92</Characters>
  <Lines>1</Lines>
  <Paragraphs>1</Paragraphs>
  <ScaleCrop>false</ScaleCrop>
  <LinksUpToDate>false</LinksUpToDate>
  <CharactersWithSpaces>106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2018-03-06T01:08:00Z</dcterms:created>
  <dc:creator>admin</dc:creator>
  <cp:lastModifiedBy>袁碧浓</cp:lastModifiedBy>
  <cp:lastPrinted>2018-03-06T01:43:00Z</cp:lastPrinted>
  <dcterms:modified xsi:type="dcterms:W3CDTF">2018-03-23T06:12:44Z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